
<file path=[Content_Types].xml><?xml version="1.0" encoding="utf-8"?>
<Types xmlns="http://schemas.openxmlformats.org/package/2006/content-types">
  <Default Extension="xml" ContentType="application/xml"/>
  <Default Extension="doc" ContentType="application/msword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5F7C89">
      <w:pPr>
        <w:jc w:val="center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总降配电室改造工程</w:t>
      </w:r>
      <w:r>
        <w:rPr>
          <w:rFonts w:hint="eastAsia" w:ascii="宋体" w:hAnsi="宋体" w:eastAsia="宋体"/>
          <w:b/>
          <w:sz w:val="28"/>
          <w:szCs w:val="28"/>
          <w:lang w:eastAsia="zh-CN"/>
        </w:rPr>
        <w:t>－</w:t>
      </w:r>
      <w:r>
        <w:rPr>
          <w:rFonts w:hint="eastAsia" w:ascii="宋体" w:hAnsi="宋体" w:eastAsia="宋体"/>
          <w:b/>
          <w:sz w:val="28"/>
          <w:szCs w:val="28"/>
        </w:rPr>
        <w:t>土建施工服务发包技术文件</w:t>
      </w:r>
    </w:p>
    <w:p w14:paraId="1875E99C">
      <w:pPr>
        <w:spacing w:line="276" w:lineRule="auto"/>
      </w:pPr>
    </w:p>
    <w:p w14:paraId="6C255E72">
      <w:pPr>
        <w:pStyle w:val="8"/>
        <w:numPr>
          <w:ilvl w:val="0"/>
          <w:numId w:val="1"/>
        </w:numPr>
        <w:spacing w:line="276" w:lineRule="auto"/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  <w:b/>
        </w:rPr>
        <w:t>工程/服务发包概述</w:t>
      </w:r>
      <w:r>
        <w:rPr>
          <w:rFonts w:ascii="宋体" w:hAnsi="宋体" w:eastAsia="宋体"/>
        </w:rPr>
        <w:br w:type="textWrapping"/>
      </w:r>
      <w:r>
        <w:rPr>
          <w:rFonts w:ascii="宋体" w:hAnsi="宋体" w:eastAsia="宋体"/>
          <w:sz w:val="18"/>
          <w:szCs w:val="18"/>
        </w:rPr>
        <w:t xml:space="preserve">    </w:t>
      </w:r>
      <w:r>
        <w:rPr>
          <w:rFonts w:hint="eastAsia" w:ascii="宋体" w:hAnsi="宋体" w:eastAsia="宋体"/>
          <w:sz w:val="18"/>
          <w:szCs w:val="18"/>
        </w:rPr>
        <w:t>昆明醋酸纤维有限公司（后简称昆纤公司）对总降配电室进行改造</w:t>
      </w:r>
      <w:r>
        <w:rPr>
          <w:rFonts w:ascii="宋体" w:hAnsi="宋体" w:eastAsia="宋体"/>
          <w:sz w:val="18"/>
          <w:szCs w:val="18"/>
        </w:rPr>
        <w:t>，</w:t>
      </w:r>
      <w:r>
        <w:rPr>
          <w:rFonts w:hint="eastAsia" w:ascii="宋体" w:hAnsi="宋体" w:eastAsia="宋体"/>
          <w:sz w:val="18"/>
          <w:szCs w:val="18"/>
        </w:rPr>
        <w:t>土建施工服务需要改善室内环境，满足电气、消防等法规要求，包含照明系统改造、室内插座/检修电源改造、通风换气设施改造、室内原有金属管刷防火涂料等满足消防要求，并进行墙面涂刷、地坪处理，防火门窗更换等工作。</w:t>
      </w:r>
    </w:p>
    <w:p w14:paraId="737B99D9">
      <w:pPr>
        <w:pStyle w:val="8"/>
        <w:numPr>
          <w:ilvl w:val="0"/>
          <w:numId w:val="1"/>
        </w:numPr>
        <w:spacing w:line="276" w:lineRule="auto"/>
        <w:ind w:firstLineChars="0"/>
        <w:rPr>
          <w:rFonts w:ascii="宋体" w:hAnsi="宋体" w:eastAsia="宋体"/>
          <w:b/>
        </w:rPr>
      </w:pPr>
      <w:r>
        <w:rPr>
          <w:rFonts w:hint="eastAsia" w:ascii="宋体" w:hAnsi="宋体" w:eastAsia="宋体"/>
          <w:b/>
        </w:rPr>
        <w:t>技术标准&amp;规范</w:t>
      </w:r>
    </w:p>
    <w:tbl>
      <w:tblPr>
        <w:tblStyle w:val="5"/>
        <w:tblW w:w="5000" w:type="pct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59"/>
        <w:gridCol w:w="7678"/>
      </w:tblGrid>
      <w:tr w14:paraId="046A7A4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13" w:type="pct"/>
            <w:vAlign w:val="center"/>
          </w:tcPr>
          <w:p w14:paraId="69D5CA5D">
            <w:pPr>
              <w:pStyle w:val="9"/>
              <w:spacing w:before="100" w:beforeAutospacing="1" w:after="100" w:afterAutospacing="1" w:line="360" w:lineRule="auto"/>
              <w:jc w:val="center"/>
              <w:rPr>
                <w:rFonts w:ascii="宋体" w:hAnsi="宋体"/>
                <w:b/>
                <w:color w:val="auto"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color w:val="auto"/>
                <w:sz w:val="18"/>
                <w:szCs w:val="18"/>
              </w:rPr>
              <w:t>标准号</w:t>
            </w:r>
          </w:p>
        </w:tc>
        <w:tc>
          <w:tcPr>
            <w:tcW w:w="3787" w:type="pct"/>
            <w:vAlign w:val="center"/>
          </w:tcPr>
          <w:p w14:paraId="78CAE504">
            <w:pPr>
              <w:pStyle w:val="9"/>
              <w:spacing w:before="100" w:beforeAutospacing="1" w:after="100" w:afterAutospacing="1" w:line="360" w:lineRule="auto"/>
              <w:jc w:val="center"/>
              <w:rPr>
                <w:rFonts w:ascii="宋体" w:hAnsi="宋体"/>
                <w:b/>
                <w:color w:val="auto"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color w:val="auto"/>
                <w:sz w:val="18"/>
                <w:szCs w:val="18"/>
              </w:rPr>
              <w:t>标   准   名   称</w:t>
            </w:r>
          </w:p>
        </w:tc>
      </w:tr>
      <w:tr w14:paraId="76F8689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13" w:type="pct"/>
            <w:vAlign w:val="center"/>
          </w:tcPr>
          <w:p w14:paraId="0B31F392">
            <w:pPr>
              <w:pStyle w:val="9"/>
              <w:spacing w:before="100" w:beforeAutospacing="1" w:after="100" w:afterAutospacing="1" w:line="360" w:lineRule="auto"/>
              <w:rPr>
                <w:rFonts w:ascii="宋体" w:hAnsi="宋体"/>
                <w:color w:val="auto"/>
                <w:sz w:val="18"/>
                <w:szCs w:val="18"/>
              </w:rPr>
            </w:pPr>
            <w:r>
              <w:rPr>
                <w:rFonts w:ascii="宋体" w:hAnsi="宋体"/>
                <w:color w:val="auto"/>
                <w:sz w:val="18"/>
                <w:szCs w:val="18"/>
              </w:rPr>
              <w:t>GB 18582-2020</w:t>
            </w:r>
          </w:p>
        </w:tc>
        <w:tc>
          <w:tcPr>
            <w:tcW w:w="3787" w:type="pct"/>
            <w:vAlign w:val="center"/>
          </w:tcPr>
          <w:p w14:paraId="4EED8D8D">
            <w:pPr>
              <w:pStyle w:val="9"/>
              <w:spacing w:before="100" w:beforeAutospacing="1" w:after="100" w:afterAutospacing="1" w:line="360" w:lineRule="auto"/>
              <w:rPr>
                <w:rFonts w:ascii="宋体" w:hAnsi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</w:rPr>
              <w:t>《</w:t>
            </w:r>
            <w:r>
              <w:rPr>
                <w:rFonts w:ascii="宋体" w:hAnsi="宋体"/>
                <w:color w:val="auto"/>
                <w:sz w:val="18"/>
                <w:szCs w:val="18"/>
              </w:rPr>
              <w:t>建筑用墙面涂料</w:t>
            </w:r>
            <w:r>
              <w:rPr>
                <w:rFonts w:hint="eastAsia" w:ascii="宋体" w:hAnsi="宋体"/>
                <w:color w:val="auto"/>
                <w:sz w:val="18"/>
                <w:szCs w:val="18"/>
              </w:rPr>
              <w:t>》</w:t>
            </w:r>
          </w:p>
        </w:tc>
      </w:tr>
      <w:tr w14:paraId="686B94E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13" w:type="pct"/>
            <w:vAlign w:val="center"/>
          </w:tcPr>
          <w:p w14:paraId="7781649E">
            <w:pPr>
              <w:pStyle w:val="9"/>
              <w:spacing w:before="100" w:beforeAutospacing="1" w:after="100" w:afterAutospacing="1" w:line="360" w:lineRule="auto"/>
              <w:rPr>
                <w:rFonts w:ascii="宋体" w:hAnsi="宋体"/>
                <w:color w:val="auto"/>
                <w:sz w:val="18"/>
                <w:szCs w:val="18"/>
              </w:rPr>
            </w:pPr>
            <w:r>
              <w:rPr>
                <w:rFonts w:ascii="宋体" w:hAnsi="宋体"/>
                <w:color w:val="auto"/>
                <w:sz w:val="18"/>
                <w:szCs w:val="18"/>
              </w:rPr>
              <w:t>GB 18583-2008</w:t>
            </w:r>
          </w:p>
        </w:tc>
        <w:tc>
          <w:tcPr>
            <w:tcW w:w="3787" w:type="pct"/>
            <w:vAlign w:val="center"/>
          </w:tcPr>
          <w:p w14:paraId="7B58D8DF">
            <w:pPr>
              <w:pStyle w:val="9"/>
              <w:spacing w:before="100" w:beforeAutospacing="1" w:after="100" w:afterAutospacing="1" w:line="360" w:lineRule="auto"/>
              <w:rPr>
                <w:rFonts w:ascii="宋体" w:hAnsi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</w:rPr>
              <w:t>《</w:t>
            </w:r>
            <w:r>
              <w:rPr>
                <w:rFonts w:ascii="宋体" w:hAnsi="宋体"/>
                <w:color w:val="auto"/>
                <w:sz w:val="18"/>
                <w:szCs w:val="18"/>
              </w:rPr>
              <w:t>室内装饰材料胶粘剂有害物质限量</w:t>
            </w:r>
            <w:r>
              <w:rPr>
                <w:rFonts w:hint="eastAsia" w:ascii="宋体" w:hAnsi="宋体"/>
                <w:color w:val="auto"/>
                <w:sz w:val="18"/>
                <w:szCs w:val="18"/>
              </w:rPr>
              <w:t>》</w:t>
            </w:r>
          </w:p>
        </w:tc>
      </w:tr>
      <w:tr w14:paraId="546C11E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13" w:type="pct"/>
            <w:vAlign w:val="center"/>
          </w:tcPr>
          <w:p w14:paraId="50548253">
            <w:pPr>
              <w:pStyle w:val="9"/>
              <w:spacing w:before="100" w:beforeAutospacing="1" w:after="100" w:afterAutospacing="1" w:line="360" w:lineRule="auto"/>
              <w:rPr>
                <w:rFonts w:ascii="宋体" w:hAnsi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</w:rPr>
              <w:t>GB</w:t>
            </w:r>
            <w:r>
              <w:rPr>
                <w:rFonts w:ascii="宋体" w:hAnsi="宋体"/>
                <w:color w:val="auto"/>
                <w:sz w:val="18"/>
                <w:szCs w:val="18"/>
              </w:rPr>
              <w:t xml:space="preserve"> </w:t>
            </w:r>
            <w:r>
              <w:rPr>
                <w:rFonts w:hint="eastAsia" w:ascii="宋体" w:hAnsi="宋体"/>
                <w:color w:val="auto"/>
                <w:sz w:val="18"/>
                <w:szCs w:val="18"/>
              </w:rPr>
              <w:t>50194-2014</w:t>
            </w:r>
          </w:p>
        </w:tc>
        <w:tc>
          <w:tcPr>
            <w:tcW w:w="3787" w:type="pct"/>
            <w:vAlign w:val="center"/>
          </w:tcPr>
          <w:p w14:paraId="3F97921E">
            <w:pPr>
              <w:pStyle w:val="9"/>
              <w:spacing w:before="100" w:beforeAutospacing="1" w:after="100" w:afterAutospacing="1" w:line="360" w:lineRule="auto"/>
              <w:rPr>
                <w:rFonts w:ascii="宋体" w:hAnsi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</w:rPr>
              <w:t>《建设工程施工现场供用电安全规范》</w:t>
            </w:r>
          </w:p>
        </w:tc>
      </w:tr>
      <w:tr w14:paraId="6B84BC9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13" w:type="pct"/>
            <w:vAlign w:val="center"/>
          </w:tcPr>
          <w:p w14:paraId="01BEBE93">
            <w:pPr>
              <w:pStyle w:val="9"/>
              <w:spacing w:before="100" w:beforeAutospacing="1" w:after="100" w:afterAutospacing="1" w:line="360" w:lineRule="auto"/>
              <w:rPr>
                <w:rFonts w:ascii="宋体" w:hAnsi="宋体"/>
                <w:color w:val="auto"/>
                <w:sz w:val="18"/>
                <w:szCs w:val="18"/>
              </w:rPr>
            </w:pPr>
            <w:r>
              <w:rPr>
                <w:rFonts w:ascii="宋体" w:hAnsi="宋体"/>
                <w:color w:val="auto"/>
                <w:sz w:val="18"/>
                <w:szCs w:val="18"/>
              </w:rPr>
              <w:t>GB 50209-2010</w:t>
            </w:r>
          </w:p>
        </w:tc>
        <w:tc>
          <w:tcPr>
            <w:tcW w:w="3787" w:type="pct"/>
            <w:vAlign w:val="center"/>
          </w:tcPr>
          <w:p w14:paraId="6DDA9F44">
            <w:pPr>
              <w:pStyle w:val="9"/>
              <w:spacing w:before="100" w:beforeAutospacing="1" w:after="100" w:afterAutospacing="1" w:line="360" w:lineRule="auto"/>
              <w:rPr>
                <w:rFonts w:ascii="宋体" w:hAnsi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</w:rPr>
              <w:t>《建筑地面工程施工质量验收规范》</w:t>
            </w:r>
          </w:p>
        </w:tc>
      </w:tr>
      <w:tr w14:paraId="373AC64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13" w:type="pct"/>
            <w:vAlign w:val="center"/>
          </w:tcPr>
          <w:p w14:paraId="10F4F577">
            <w:pPr>
              <w:pStyle w:val="9"/>
              <w:spacing w:before="100" w:beforeAutospacing="1" w:after="100" w:afterAutospacing="1" w:line="360" w:lineRule="auto"/>
              <w:rPr>
                <w:rFonts w:ascii="宋体" w:hAnsi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</w:rPr>
              <w:t>GB 50210-2018</w:t>
            </w:r>
          </w:p>
        </w:tc>
        <w:tc>
          <w:tcPr>
            <w:tcW w:w="3787" w:type="pct"/>
            <w:vAlign w:val="center"/>
          </w:tcPr>
          <w:p w14:paraId="595D3F30">
            <w:pPr>
              <w:pStyle w:val="9"/>
              <w:spacing w:before="100" w:beforeAutospacing="1" w:after="100" w:afterAutospacing="1" w:line="360" w:lineRule="auto"/>
              <w:rPr>
                <w:rFonts w:ascii="宋体" w:hAnsi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</w:rPr>
              <w:t>《建筑装饰装修工程质量验收标准》</w:t>
            </w:r>
          </w:p>
        </w:tc>
      </w:tr>
      <w:tr w14:paraId="6D2430C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13" w:type="pct"/>
            <w:vAlign w:val="center"/>
          </w:tcPr>
          <w:p w14:paraId="0EF5A7CD">
            <w:pPr>
              <w:pStyle w:val="9"/>
              <w:spacing w:before="100" w:beforeAutospacing="1" w:after="100" w:afterAutospacing="1" w:line="360" w:lineRule="auto"/>
              <w:rPr>
                <w:rFonts w:ascii="宋体" w:hAnsi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</w:rPr>
              <w:t>GB</w:t>
            </w:r>
            <w:r>
              <w:rPr>
                <w:rFonts w:ascii="宋体" w:hAnsi="宋体"/>
                <w:color w:val="auto"/>
                <w:sz w:val="18"/>
                <w:szCs w:val="18"/>
              </w:rPr>
              <w:t xml:space="preserve"> </w:t>
            </w:r>
            <w:r>
              <w:rPr>
                <w:rFonts w:hint="eastAsia" w:ascii="宋体" w:hAnsi="宋体"/>
                <w:color w:val="auto"/>
                <w:sz w:val="18"/>
                <w:szCs w:val="18"/>
              </w:rPr>
              <w:t>50212-2014</w:t>
            </w:r>
          </w:p>
        </w:tc>
        <w:tc>
          <w:tcPr>
            <w:tcW w:w="3787" w:type="pct"/>
            <w:vAlign w:val="center"/>
          </w:tcPr>
          <w:p w14:paraId="48A8C26F">
            <w:pPr>
              <w:pStyle w:val="9"/>
              <w:spacing w:before="100" w:beforeAutospacing="1" w:after="100" w:afterAutospacing="1" w:line="360" w:lineRule="auto"/>
              <w:rPr>
                <w:rFonts w:ascii="宋体" w:hAnsi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</w:rPr>
              <w:t>《建筑防腐蚀工程施工规范》</w:t>
            </w:r>
          </w:p>
        </w:tc>
      </w:tr>
      <w:tr w14:paraId="7A0910D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13" w:type="pct"/>
            <w:vAlign w:val="center"/>
          </w:tcPr>
          <w:p w14:paraId="0476C0B2">
            <w:pPr>
              <w:pStyle w:val="9"/>
              <w:spacing w:before="100" w:beforeAutospacing="1" w:after="100" w:afterAutospacing="1" w:line="360" w:lineRule="auto"/>
              <w:rPr>
                <w:rFonts w:ascii="宋体" w:hAnsi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</w:rPr>
              <w:t>GB 50300-2013</w:t>
            </w:r>
          </w:p>
        </w:tc>
        <w:tc>
          <w:tcPr>
            <w:tcW w:w="3787" w:type="pct"/>
            <w:vAlign w:val="center"/>
          </w:tcPr>
          <w:p w14:paraId="6C1E00EE">
            <w:pPr>
              <w:pStyle w:val="9"/>
              <w:spacing w:before="100" w:beforeAutospacing="1" w:after="100" w:afterAutospacing="1" w:line="360" w:lineRule="auto"/>
              <w:rPr>
                <w:rFonts w:ascii="宋体" w:hAnsi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</w:rPr>
              <w:t>《</w:t>
            </w:r>
            <w:r>
              <w:rPr>
                <w:rFonts w:ascii="宋体" w:hAnsi="宋体" w:cs="宋体"/>
                <w:sz w:val="18"/>
                <w:szCs w:val="18"/>
              </w:rPr>
              <w:t>建筑工程施工质量验收统一标准</w:t>
            </w:r>
            <w:r>
              <w:rPr>
                <w:rFonts w:hint="eastAsia" w:ascii="宋体" w:hAnsi="宋体"/>
                <w:color w:val="auto"/>
                <w:sz w:val="18"/>
                <w:szCs w:val="18"/>
              </w:rPr>
              <w:t>》</w:t>
            </w:r>
          </w:p>
        </w:tc>
      </w:tr>
      <w:tr w14:paraId="7499223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13" w:type="pct"/>
            <w:vAlign w:val="center"/>
          </w:tcPr>
          <w:p w14:paraId="1803EF8A">
            <w:pPr>
              <w:pStyle w:val="9"/>
              <w:spacing w:before="100" w:beforeAutospacing="1" w:after="100" w:afterAutospacing="1" w:line="360" w:lineRule="auto"/>
              <w:rPr>
                <w:rFonts w:ascii="宋体" w:hAnsi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</w:rPr>
              <w:t>GB 50303-2015</w:t>
            </w:r>
          </w:p>
        </w:tc>
        <w:tc>
          <w:tcPr>
            <w:tcW w:w="3787" w:type="pct"/>
            <w:vAlign w:val="center"/>
          </w:tcPr>
          <w:p w14:paraId="0868950E">
            <w:pPr>
              <w:pStyle w:val="9"/>
              <w:spacing w:before="100" w:beforeAutospacing="1" w:after="100" w:afterAutospacing="1" w:line="360" w:lineRule="auto"/>
              <w:rPr>
                <w:rFonts w:ascii="宋体" w:hAnsi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</w:rPr>
              <w:t>《建筑电气工程施工质量验收标准》</w:t>
            </w:r>
          </w:p>
        </w:tc>
      </w:tr>
      <w:tr w14:paraId="2EBC7BD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13" w:type="pct"/>
            <w:vAlign w:val="center"/>
          </w:tcPr>
          <w:p w14:paraId="6DCE72F8">
            <w:pPr>
              <w:pStyle w:val="9"/>
              <w:spacing w:before="100" w:beforeAutospacing="1" w:after="100" w:afterAutospacing="1" w:line="360" w:lineRule="auto"/>
              <w:rPr>
                <w:rFonts w:ascii="宋体" w:hAnsi="宋体"/>
                <w:color w:val="auto"/>
                <w:sz w:val="18"/>
                <w:szCs w:val="18"/>
              </w:rPr>
            </w:pPr>
            <w:r>
              <w:rPr>
                <w:rFonts w:ascii="宋体" w:hAnsi="宋体"/>
                <w:color w:val="auto"/>
                <w:sz w:val="18"/>
                <w:szCs w:val="18"/>
              </w:rPr>
              <w:t>GB 55016-2021</w:t>
            </w:r>
          </w:p>
        </w:tc>
        <w:tc>
          <w:tcPr>
            <w:tcW w:w="3787" w:type="pct"/>
            <w:vAlign w:val="center"/>
          </w:tcPr>
          <w:p w14:paraId="135F1319">
            <w:pPr>
              <w:pStyle w:val="9"/>
              <w:spacing w:before="100" w:beforeAutospacing="1" w:after="100" w:afterAutospacing="1" w:line="360" w:lineRule="auto"/>
              <w:rPr>
                <w:rFonts w:ascii="宋体" w:hAnsi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</w:rPr>
              <w:t>《建筑环境通用规范》</w:t>
            </w:r>
          </w:p>
        </w:tc>
      </w:tr>
    </w:tbl>
    <w:p w14:paraId="5589E73E">
      <w:pPr>
        <w:pStyle w:val="8"/>
        <w:numPr>
          <w:ilvl w:val="0"/>
          <w:numId w:val="1"/>
        </w:numPr>
        <w:spacing w:line="276" w:lineRule="auto"/>
        <w:ind w:firstLineChars="0"/>
        <w:rPr>
          <w:rFonts w:ascii="宋体" w:hAnsi="宋体" w:eastAsia="宋体"/>
          <w:b/>
        </w:rPr>
      </w:pPr>
      <w:r>
        <w:rPr>
          <w:rFonts w:hint="eastAsia" w:ascii="宋体" w:hAnsi="宋体" w:eastAsia="宋体"/>
          <w:b/>
        </w:rPr>
        <w:t>工程/服务范围、内容和工程量</w:t>
      </w:r>
    </w:p>
    <w:p w14:paraId="5BAC18FA">
      <w:pPr>
        <w:pStyle w:val="8"/>
        <w:numPr>
          <w:ilvl w:val="1"/>
          <w:numId w:val="2"/>
        </w:numPr>
        <w:spacing w:line="276" w:lineRule="auto"/>
        <w:ind w:firstLineChars="0"/>
        <w:outlineLvl w:val="1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拆除工作</w:t>
      </w:r>
    </w:p>
    <w:tbl>
      <w:tblPr>
        <w:tblStyle w:val="5"/>
        <w:tblW w:w="9818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8"/>
        <w:gridCol w:w="1876"/>
        <w:gridCol w:w="1984"/>
        <w:gridCol w:w="709"/>
        <w:gridCol w:w="709"/>
        <w:gridCol w:w="3962"/>
      </w:tblGrid>
      <w:tr w14:paraId="44A9E0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AAA650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87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9ABC76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名称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0ED2DE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规   格  型   号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C75017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单位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264A40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数量</w:t>
            </w:r>
          </w:p>
        </w:tc>
        <w:tc>
          <w:tcPr>
            <w:tcW w:w="3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B90E7D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备        注</w:t>
            </w:r>
          </w:p>
        </w:tc>
      </w:tr>
      <w:tr w14:paraId="58BA33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2FDDE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785C6F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钢制防火门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42119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1450×2300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930AF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樘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D4B3A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3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3735C6">
            <w:pPr>
              <w:jc w:val="lef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前后门</w:t>
            </w:r>
          </w:p>
        </w:tc>
      </w:tr>
      <w:tr w14:paraId="6B50B7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2AE8C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0EDBC7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钢制门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03490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1450×2960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82A68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樘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29CA0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3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8CA9B2">
            <w:pPr>
              <w:jc w:val="lef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电容室门</w:t>
            </w:r>
          </w:p>
        </w:tc>
      </w:tr>
      <w:tr w14:paraId="172DEB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EE5AD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1A8858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钢窗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939AF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1300×800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CF6120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扇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3A2257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3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FF064C">
            <w:pPr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</w:tr>
      <w:tr w14:paraId="290FF1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7F03D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4FC722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室内照明、配电设备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0D2CC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D6734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套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2B658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3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A700DD">
            <w:pPr>
              <w:jc w:val="lef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照明电源箱2台、电容室空调电源箱1台、检修电源箱1台、门禁/防水系统控制箱1台，单管LED灯15盏，应急照明灯6盏</w:t>
            </w:r>
          </w:p>
        </w:tc>
      </w:tr>
      <w:tr w14:paraId="184E19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4F193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5273AE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潜水泵控制箱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32788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774BE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个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7C1EC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3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7957DF">
            <w:pPr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</w:tbl>
    <w:p w14:paraId="50A67090">
      <w:pPr>
        <w:pStyle w:val="8"/>
        <w:numPr>
          <w:ilvl w:val="1"/>
          <w:numId w:val="2"/>
        </w:numPr>
        <w:spacing w:line="276" w:lineRule="auto"/>
        <w:ind w:firstLineChars="0"/>
        <w:outlineLvl w:val="1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安装、装修服务（材料乙供）</w:t>
      </w:r>
    </w:p>
    <w:tbl>
      <w:tblPr>
        <w:tblStyle w:val="5"/>
        <w:tblW w:w="9875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1843"/>
        <w:gridCol w:w="1847"/>
        <w:gridCol w:w="709"/>
        <w:gridCol w:w="851"/>
        <w:gridCol w:w="3921"/>
      </w:tblGrid>
      <w:tr w14:paraId="52B571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9AA549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84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006793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名称</w:t>
            </w:r>
          </w:p>
        </w:tc>
        <w:tc>
          <w:tcPr>
            <w:tcW w:w="1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5DB5E6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规   格  型   号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603D20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单位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8D44DA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数量</w:t>
            </w:r>
          </w:p>
        </w:tc>
        <w:tc>
          <w:tcPr>
            <w:tcW w:w="3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5B71C5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备        注</w:t>
            </w:r>
          </w:p>
        </w:tc>
      </w:tr>
      <w:tr w14:paraId="22ABE1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E8C0B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EB7CA8">
            <w:pPr>
              <w:widowControl/>
              <w:jc w:val="left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配电室内墙体粉刷</w:t>
            </w:r>
          </w:p>
        </w:tc>
        <w:tc>
          <w:tcPr>
            <w:tcW w:w="1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A6AAF9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先磨平抹灰再刷白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F81D35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m</w:t>
            </w:r>
            <w:r>
              <w:rPr>
                <w:rFonts w:hint="eastAsia" w:ascii="宋体" w:hAnsi="宋体" w:eastAsia="宋体" w:cs="宋体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E90B32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660</w:t>
            </w:r>
          </w:p>
        </w:tc>
        <w:tc>
          <w:tcPr>
            <w:tcW w:w="3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878825">
            <w:pPr>
              <w:widowControl/>
              <w:jc w:val="left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墙面、天棚墙、柱面，具体要求参见附件一</w:t>
            </w:r>
          </w:p>
        </w:tc>
      </w:tr>
      <w:tr w14:paraId="67391E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EE89B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770167">
            <w:pPr>
              <w:widowControl/>
              <w:jc w:val="left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配电室地坪处理</w:t>
            </w:r>
          </w:p>
        </w:tc>
        <w:tc>
          <w:tcPr>
            <w:tcW w:w="1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C75751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改性聚氨酯水泥基</w:t>
            </w:r>
            <w:r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  <w:t>/石英砂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8DD87A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m</w:t>
            </w:r>
            <w:r>
              <w:rPr>
                <w:rFonts w:hint="eastAsia" w:ascii="宋体" w:hAnsi="宋体" w:eastAsia="宋体" w:cs="宋体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3A4C0D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  <w:t>00</w:t>
            </w:r>
          </w:p>
        </w:tc>
        <w:tc>
          <w:tcPr>
            <w:tcW w:w="3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7454AC">
            <w:pPr>
              <w:widowControl/>
              <w:jc w:val="left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马贝、西卡、巴斯夫及同等品牌，具体要求参见“</w:t>
            </w:r>
            <w:r>
              <w:rPr>
                <w:rFonts w:ascii="宋体" w:hAnsi="宋体" w:eastAsia="宋体" w:cs="宋体"/>
                <w:sz w:val="18"/>
                <w:szCs w:val="18"/>
              </w:rPr>
              <w:t>5.4地面施工技术要求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”</w:t>
            </w:r>
          </w:p>
        </w:tc>
      </w:tr>
      <w:tr w14:paraId="078813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  <w:jc w:val="center"/>
        </w:trPr>
        <w:tc>
          <w:tcPr>
            <w:tcW w:w="70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43083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84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7C7F32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制作安装</w:t>
            </w:r>
            <w:bookmarkStart w:id="0" w:name="OLE_LINK2"/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防小动物</w:t>
            </w:r>
            <w:bookmarkEnd w:id="0"/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挡板</w:t>
            </w:r>
          </w:p>
        </w:tc>
        <w:tc>
          <w:tcPr>
            <w:tcW w:w="1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C9695F"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门洞长1</w:t>
            </w:r>
            <w:r>
              <w:rPr>
                <w:rFonts w:ascii="宋体" w:hAnsi="宋体" w:eastAsia="宋体" w:cs="宋体"/>
                <w:color w:val="000000"/>
                <w:sz w:val="18"/>
                <w:szCs w:val="18"/>
              </w:rPr>
              <w:t>450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mm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051353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套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E20B51"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392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7B9512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详见防小动物挡板图（</w:t>
            </w: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18"/>
                <w:szCs w:val="18"/>
                <w:lang w:bidi="ar"/>
              </w:rPr>
              <w:t>附图一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</w:tr>
      <w:tr w14:paraId="72994C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  <w:jc w:val="center"/>
        </w:trPr>
        <w:tc>
          <w:tcPr>
            <w:tcW w:w="70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A6D8E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84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0A642D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5A13F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门洞长1</w:t>
            </w:r>
            <w:r>
              <w:rPr>
                <w:rFonts w:ascii="宋体" w:hAnsi="宋体" w:eastAsia="宋体" w:cs="宋体"/>
                <w:color w:val="000000"/>
                <w:sz w:val="18"/>
                <w:szCs w:val="18"/>
              </w:rPr>
              <w:t>090</w:t>
            </w:r>
            <w:r>
              <w:t xml:space="preserve"> </w:t>
            </w:r>
            <w:r>
              <w:rPr>
                <w:rFonts w:ascii="宋体" w:hAnsi="宋体" w:eastAsia="宋体" w:cs="宋体"/>
                <w:color w:val="000000"/>
                <w:sz w:val="18"/>
                <w:szCs w:val="18"/>
              </w:rPr>
              <w:t>mm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331D4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套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93500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392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EABC8F">
            <w:pPr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33EB1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" w:hRule="atLeast"/>
          <w:jc w:val="center"/>
        </w:trPr>
        <w:tc>
          <w:tcPr>
            <w:tcW w:w="70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6C365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84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FCDB99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E5DE4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门洞长</w:t>
            </w:r>
            <w:r>
              <w:rPr>
                <w:rFonts w:ascii="宋体" w:hAnsi="宋体" w:eastAsia="宋体" w:cs="宋体"/>
                <w:color w:val="000000"/>
                <w:sz w:val="18"/>
                <w:szCs w:val="18"/>
              </w:rPr>
              <w:t>860</w:t>
            </w:r>
            <w:r>
              <w:t xml:space="preserve"> </w:t>
            </w:r>
            <w:r>
              <w:rPr>
                <w:rFonts w:ascii="宋体" w:hAnsi="宋体" w:eastAsia="宋体" w:cs="宋体"/>
                <w:color w:val="000000"/>
                <w:sz w:val="18"/>
                <w:szCs w:val="18"/>
              </w:rPr>
              <w:t>mm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341B3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套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1C521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392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CE7950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BAC76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BC28D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0BDE4F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潜水泵控制箱</w:t>
            </w:r>
          </w:p>
        </w:tc>
        <w:tc>
          <w:tcPr>
            <w:tcW w:w="1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03781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防雨型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3CD33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台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D91EB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3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D92717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室外安装，带液位控制功能</w:t>
            </w:r>
          </w:p>
        </w:tc>
      </w:tr>
      <w:tr w14:paraId="5A3BB7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C6CE5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39D05E">
            <w:pPr>
              <w:widowControl/>
              <w:jc w:val="left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钢制甲级防火门</w:t>
            </w:r>
          </w:p>
        </w:tc>
        <w:tc>
          <w:tcPr>
            <w:tcW w:w="1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150283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1450×2300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BFE4E4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樘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EB5AE7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3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32A6E3">
            <w:pPr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配电室，带视窗3</w:t>
            </w:r>
            <w:r>
              <w:rPr>
                <w:rFonts w:ascii="宋体" w:hAnsi="宋体" w:eastAsia="宋体" w:cs="宋体"/>
                <w:sz w:val="18"/>
                <w:szCs w:val="18"/>
              </w:rPr>
              <w:t>00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×</w:t>
            </w:r>
            <w:r>
              <w:rPr>
                <w:rFonts w:ascii="宋体" w:hAnsi="宋体" w:eastAsia="宋体" w:cs="宋体"/>
                <w:sz w:val="18"/>
                <w:szCs w:val="18"/>
              </w:rPr>
              <w:t>600</w:t>
            </w:r>
          </w:p>
        </w:tc>
      </w:tr>
      <w:tr w14:paraId="2C4109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82D20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202D6C">
            <w:pPr>
              <w:widowControl/>
              <w:jc w:val="left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钢制甲级防火门</w:t>
            </w:r>
          </w:p>
        </w:tc>
        <w:tc>
          <w:tcPr>
            <w:tcW w:w="1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C66FD9">
            <w:pPr>
              <w:widowControl/>
              <w:jc w:val="center"/>
              <w:textAlignment w:val="top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  <w:t>1460×2960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9CDF9E">
            <w:pPr>
              <w:widowControl/>
              <w:ind w:firstLine="180" w:firstLineChars="100"/>
              <w:jc w:val="left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樘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49CB00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3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4EB5BE">
            <w:pPr>
              <w:widowControl/>
              <w:jc w:val="left"/>
              <w:textAlignment w:val="top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电容室，带视窗</w:t>
            </w:r>
            <w:r>
              <w:rPr>
                <w:rFonts w:ascii="宋体" w:hAnsi="宋体" w:eastAsia="宋体" w:cs="宋体"/>
                <w:sz w:val="18"/>
                <w:szCs w:val="18"/>
              </w:rPr>
              <w:t>300×600</w:t>
            </w:r>
          </w:p>
        </w:tc>
      </w:tr>
      <w:tr w14:paraId="5A4BFB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16F92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03EC33">
            <w:pPr>
              <w:widowControl/>
              <w:jc w:val="left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固定防火窗</w:t>
            </w:r>
          </w:p>
        </w:tc>
        <w:tc>
          <w:tcPr>
            <w:tcW w:w="1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7BE73A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1300×800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90AB7D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扇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B6B99E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3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0099CE">
            <w:pPr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</w:p>
        </w:tc>
      </w:tr>
      <w:tr w14:paraId="047911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8BCC8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D920C2">
            <w:pPr>
              <w:widowControl/>
              <w:jc w:val="left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应急灯配电箱ALE</w:t>
            </w:r>
          </w:p>
        </w:tc>
        <w:tc>
          <w:tcPr>
            <w:tcW w:w="1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CC6B8B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壁挂式，双电源切换，带试验按钮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2D3D7F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台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724138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3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57C2F6">
            <w:pPr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详见“总降电源箱</w:t>
            </w: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ZM及应急灯配电箱ALE系统接线图”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18"/>
                <w:szCs w:val="18"/>
                <w:lang w:bidi="ar"/>
              </w:rPr>
              <w:t>（附图二）</w:t>
            </w:r>
          </w:p>
        </w:tc>
      </w:tr>
      <w:tr w14:paraId="4A5FCC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8CB05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BD0449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FF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总降电源箱Z</w:t>
            </w:r>
            <w:r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  <w:t>M</w:t>
            </w:r>
          </w:p>
        </w:tc>
        <w:tc>
          <w:tcPr>
            <w:tcW w:w="1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D5301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壁挂式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FA13A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个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11BDD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3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9A9459">
            <w:pPr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详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见“总降电源箱ZM及应急灯配电箱ALE系统接线图”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 xml:space="preserve"> （</w:t>
            </w: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18"/>
                <w:szCs w:val="18"/>
                <w:lang w:bidi="ar"/>
              </w:rPr>
              <w:t>附图二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</w:tr>
      <w:tr w14:paraId="38F94D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38C07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064CE6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双管</w:t>
            </w:r>
            <w:r>
              <w:rPr>
                <w:rFonts w:ascii="tggj" w:hAnsi="tggj" w:eastAsia="tggj" w:cs="tggj"/>
                <w:color w:val="000000"/>
                <w:sz w:val="18"/>
                <w:szCs w:val="18"/>
                <w:lang w:bidi="ar"/>
              </w:rPr>
              <w:t>T8 LED</w:t>
            </w:r>
            <w:r>
              <w:rPr>
                <w:rFonts w:ascii="宋体" w:hAnsi="宋体" w:eastAsia="宋体" w:cs="宋体"/>
                <w:color w:val="000000"/>
                <w:sz w:val="18"/>
                <w:szCs w:val="18"/>
                <w:lang w:bidi="ar"/>
              </w:rPr>
              <w:t>灯</w:t>
            </w:r>
          </w:p>
        </w:tc>
        <w:tc>
          <w:tcPr>
            <w:tcW w:w="1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805D3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FF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 xml:space="preserve">2*28W 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63181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盏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729F6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000000"/>
                <w:sz w:val="18"/>
                <w:szCs w:val="18"/>
              </w:rPr>
              <w:t>8</w:t>
            </w:r>
          </w:p>
        </w:tc>
        <w:tc>
          <w:tcPr>
            <w:tcW w:w="3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684D94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吊装</w:t>
            </w: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H+2.4m安装，其中6盏为应急灯</w:t>
            </w:r>
          </w:p>
        </w:tc>
      </w:tr>
      <w:tr w14:paraId="62C53F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18D83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285175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单联双控开关</w:t>
            </w:r>
          </w:p>
        </w:tc>
        <w:tc>
          <w:tcPr>
            <w:tcW w:w="1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C4D6E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250V 16A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98FF8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个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30DE7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3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095672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配开关盒（公牛），</w:t>
            </w:r>
            <w:r>
              <w:rPr>
                <w:rFonts w:ascii="宋体" w:hAnsi="宋体" w:eastAsia="宋体" w:cs="tggj"/>
                <w:color w:val="000000"/>
                <w:sz w:val="18"/>
                <w:szCs w:val="18"/>
                <w:lang w:bidi="ar"/>
              </w:rPr>
              <w:t>H+1.3</w:t>
            </w:r>
            <w:r>
              <w:rPr>
                <w:rFonts w:ascii="宋体" w:hAnsi="宋体" w:eastAsia="宋体" w:cs="宋体"/>
                <w:color w:val="000000"/>
                <w:sz w:val="18"/>
                <w:szCs w:val="18"/>
                <w:lang w:bidi="ar"/>
              </w:rPr>
              <w:t>米安装</w:t>
            </w:r>
          </w:p>
        </w:tc>
      </w:tr>
      <w:tr w14:paraId="349237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08A19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7DA5EE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单相五孔插座</w:t>
            </w:r>
          </w:p>
        </w:tc>
        <w:tc>
          <w:tcPr>
            <w:tcW w:w="1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A282E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250V 16A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46C94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个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9080F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3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B32A62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安全型（公牛），</w:t>
            </w:r>
            <w:r>
              <w:rPr>
                <w:rFonts w:ascii="宋体" w:hAnsi="宋体" w:eastAsia="宋体" w:cs="tggj"/>
                <w:color w:val="000000"/>
                <w:sz w:val="18"/>
                <w:szCs w:val="18"/>
                <w:lang w:bidi="ar"/>
              </w:rPr>
              <w:t>H+0.3</w:t>
            </w:r>
            <w:r>
              <w:rPr>
                <w:rFonts w:ascii="宋体" w:hAnsi="宋体" w:eastAsia="宋体" w:cs="宋体"/>
                <w:color w:val="000000"/>
                <w:sz w:val="18"/>
                <w:szCs w:val="18"/>
                <w:lang w:bidi="ar"/>
              </w:rPr>
              <w:t>米安装</w:t>
            </w:r>
          </w:p>
        </w:tc>
      </w:tr>
      <w:tr w14:paraId="786427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5F8EA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343C8A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安全疏散出口指示灯</w:t>
            </w:r>
          </w:p>
        </w:tc>
        <w:tc>
          <w:tcPr>
            <w:tcW w:w="1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273FE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LED 1W</w:t>
            </w:r>
            <w:r>
              <w:rPr>
                <w:rFonts w:ascii="tggj" w:hAnsi="tggj" w:eastAsia="tggj" w:cs="tggj"/>
                <w:color w:val="000000"/>
                <w:sz w:val="18"/>
                <w:szCs w:val="18"/>
                <w:lang w:bidi="ar"/>
              </w:rPr>
              <w:t xml:space="preserve">  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DB5D7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个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98D49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3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0908BF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敏华、劳士品牌，有源，门上0</w:t>
            </w:r>
            <w:r>
              <w:rPr>
                <w:rFonts w:ascii="宋体" w:hAnsi="宋体" w:eastAsia="宋体" w:cs="tggj"/>
                <w:color w:val="000000"/>
                <w:sz w:val="18"/>
                <w:szCs w:val="18"/>
                <w:lang w:bidi="ar"/>
              </w:rPr>
              <w:t>.1</w:t>
            </w:r>
            <w:r>
              <w:rPr>
                <w:rFonts w:ascii="宋体" w:hAnsi="宋体" w:eastAsia="宋体" w:cs="宋体"/>
                <w:color w:val="000000"/>
                <w:sz w:val="18"/>
                <w:szCs w:val="18"/>
                <w:lang w:bidi="ar"/>
              </w:rPr>
              <w:t>米安装</w:t>
            </w:r>
          </w:p>
        </w:tc>
      </w:tr>
      <w:tr w14:paraId="049A9B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C9CCE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879459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A</w:t>
            </w:r>
            <w:r>
              <w:rPr>
                <w:rFonts w:ascii="宋体" w:hAnsi="宋体" w:eastAsia="宋体" w:cs="宋体"/>
                <w:color w:val="000000"/>
                <w:sz w:val="18"/>
                <w:szCs w:val="18"/>
                <w:lang w:bidi="ar"/>
              </w:rPr>
              <w:t>型单向疏散指示灯</w:t>
            </w:r>
          </w:p>
        </w:tc>
        <w:tc>
          <w:tcPr>
            <w:tcW w:w="1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3FC3E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LED 1W</w:t>
            </w:r>
            <w:r>
              <w:rPr>
                <w:rFonts w:ascii="tggj" w:hAnsi="tggj" w:eastAsia="tggj" w:cs="tggj"/>
                <w:color w:val="000000"/>
                <w:sz w:val="18"/>
                <w:szCs w:val="18"/>
                <w:lang w:bidi="ar"/>
              </w:rPr>
              <w:t xml:space="preserve">  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63430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个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EB4AC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3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204977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敏华、劳士品牌，有源，H+0.3</w:t>
            </w:r>
            <w:r>
              <w:rPr>
                <w:rFonts w:ascii="宋体" w:hAnsi="宋体" w:eastAsia="宋体" w:cs="宋体"/>
                <w:color w:val="000000"/>
                <w:sz w:val="18"/>
                <w:szCs w:val="18"/>
                <w:lang w:bidi="ar"/>
              </w:rPr>
              <w:t>米安装</w:t>
            </w:r>
          </w:p>
        </w:tc>
      </w:tr>
      <w:tr w14:paraId="15EE61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97677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21B994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金属管刷防火涂料</w:t>
            </w:r>
          </w:p>
        </w:tc>
        <w:tc>
          <w:tcPr>
            <w:tcW w:w="1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3369D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F1057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m</w:t>
            </w:r>
            <w:r>
              <w:rPr>
                <w:rFonts w:ascii="宋体" w:hAnsi="宋体" w:eastAsia="宋体" w:cs="宋体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0F830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  <w:t>00</w:t>
            </w:r>
          </w:p>
        </w:tc>
        <w:tc>
          <w:tcPr>
            <w:tcW w:w="3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F4512D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新装及在用火灾报警检测系统（对射、探头）以及视频监控和机器人巡检系统等</w:t>
            </w:r>
          </w:p>
        </w:tc>
      </w:tr>
      <w:tr w14:paraId="287C88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B9133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46B366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出风口加弯头风管</w:t>
            </w:r>
          </w:p>
        </w:tc>
        <w:tc>
          <w:tcPr>
            <w:tcW w:w="1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41D63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现场制作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878FE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处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8CBD4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szCs w:val="18"/>
              </w:rPr>
              <w:t>5</w:t>
            </w:r>
          </w:p>
        </w:tc>
        <w:tc>
          <w:tcPr>
            <w:tcW w:w="3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D90D4A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highlight w:val="yellow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不锈钢</w:t>
            </w:r>
          </w:p>
        </w:tc>
      </w:tr>
      <w:tr w14:paraId="4FB8E6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59B59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3AEBD3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轴流排风机</w:t>
            </w:r>
          </w:p>
        </w:tc>
        <w:tc>
          <w:tcPr>
            <w:tcW w:w="1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08BBE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eastAsia="宋体"/>
                <w:sz w:val="18"/>
                <w:szCs w:val="18"/>
              </w:rPr>
              <w:t>SWF-I-7.5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D65C1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台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0718B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47559A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eastAsia="宋体"/>
                <w:sz w:val="18"/>
                <w:szCs w:val="18"/>
              </w:rPr>
              <w:t>L=2000m</w:t>
            </w:r>
            <w:r>
              <w:rPr>
                <w:rFonts w:ascii="宋体" w:hAnsi="宋体" w:eastAsia="宋体"/>
                <w:sz w:val="18"/>
                <w:szCs w:val="18"/>
                <w:vertAlign w:val="superscript"/>
              </w:rPr>
              <w:t>3</w:t>
            </w:r>
            <w:r>
              <w:rPr>
                <w:rFonts w:ascii="宋体" w:hAnsi="宋体" w:eastAsia="宋体"/>
                <w:sz w:val="18"/>
                <w:szCs w:val="18"/>
              </w:rPr>
              <w:t>/h,n=1450r/min,N=4KW,H=350Pa</w:t>
            </w:r>
          </w:p>
        </w:tc>
      </w:tr>
      <w:tr w14:paraId="0F7373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C7F1F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5453E5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轴流排风机</w:t>
            </w:r>
          </w:p>
        </w:tc>
        <w:tc>
          <w:tcPr>
            <w:tcW w:w="1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375B6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eastAsia="宋体"/>
                <w:sz w:val="18"/>
                <w:szCs w:val="18"/>
              </w:rPr>
              <w:t>PF-562-2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D3F11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台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CE475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1</w:t>
            </w:r>
          </w:p>
        </w:tc>
        <w:tc>
          <w:tcPr>
            <w:tcW w:w="3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779627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L=900m</w:t>
            </w: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vertAlign w:val="superscript"/>
                <w:lang w:bidi="ar"/>
              </w:rPr>
              <w:t>3</w:t>
            </w: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/h,n=1450r/min,N=0.55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eastAsia="zh-CN" w:bidi="ar"/>
              </w:rPr>
              <w:t>kW</w:t>
            </w: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,H=0.87Pa</w:t>
            </w:r>
          </w:p>
        </w:tc>
      </w:tr>
      <w:tr w14:paraId="4FA038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188EB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7999A7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低压电缆</w:t>
            </w:r>
          </w:p>
        </w:tc>
        <w:tc>
          <w:tcPr>
            <w:tcW w:w="1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482316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ZN-YJV-0.6/1kV  4×50+25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CC49A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台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03E8B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3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F5C662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品牌为昆缆、明超、宝胜</w:t>
            </w:r>
          </w:p>
        </w:tc>
      </w:tr>
      <w:tr w14:paraId="47B51C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27CBF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CE7534"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低压电缆</w:t>
            </w:r>
          </w:p>
        </w:tc>
        <w:tc>
          <w:tcPr>
            <w:tcW w:w="1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2F1A80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ZN-BV-3×2.5mm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vertAlign w:val="superscript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7C7FA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米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DD729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szCs w:val="18"/>
              </w:rPr>
              <w:t>423</w:t>
            </w:r>
          </w:p>
        </w:tc>
        <w:tc>
          <w:tcPr>
            <w:tcW w:w="3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E1E3FE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同上</w:t>
            </w:r>
          </w:p>
        </w:tc>
      </w:tr>
      <w:tr w14:paraId="1DF1B1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35ACE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3A91B3"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低压电缆</w:t>
            </w:r>
          </w:p>
        </w:tc>
        <w:tc>
          <w:tcPr>
            <w:tcW w:w="1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46FFF4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ZN-BV-3×4mm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vertAlign w:val="superscript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B5743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米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04B2B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84</w:t>
            </w:r>
          </w:p>
        </w:tc>
        <w:tc>
          <w:tcPr>
            <w:tcW w:w="3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FEA86B"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同上</w:t>
            </w:r>
          </w:p>
        </w:tc>
      </w:tr>
      <w:tr w14:paraId="6C0326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612E8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DADD92"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低压电缆</w:t>
            </w:r>
          </w:p>
        </w:tc>
        <w:tc>
          <w:tcPr>
            <w:tcW w:w="1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5CE4EB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ZN-YJV-0.6/1kV  5×10mm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vertAlign w:val="superscript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14B0C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米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F74B4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404</w:t>
            </w:r>
          </w:p>
        </w:tc>
        <w:tc>
          <w:tcPr>
            <w:tcW w:w="3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7135D0"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同上</w:t>
            </w:r>
          </w:p>
        </w:tc>
      </w:tr>
      <w:tr w14:paraId="146F90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BB6EA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AE2CA6"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低压电缆</w:t>
            </w:r>
          </w:p>
        </w:tc>
        <w:tc>
          <w:tcPr>
            <w:tcW w:w="1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680ED3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ZN-YJV-0.6/1kV  5×16mm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vertAlign w:val="superscript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99FCD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米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002C4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354</w:t>
            </w:r>
          </w:p>
        </w:tc>
        <w:tc>
          <w:tcPr>
            <w:tcW w:w="3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956F91"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同上</w:t>
            </w:r>
          </w:p>
        </w:tc>
      </w:tr>
      <w:tr w14:paraId="3DB307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3A8D1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F78070"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低压电缆</w:t>
            </w:r>
          </w:p>
        </w:tc>
        <w:tc>
          <w:tcPr>
            <w:tcW w:w="1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2156D2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ZN-YJV-0.6/1kV  5×6mm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vertAlign w:val="superscript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385AC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米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32AD1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000000"/>
                <w:sz w:val="18"/>
                <w:szCs w:val="18"/>
              </w:rPr>
              <w:t>58</w:t>
            </w:r>
          </w:p>
        </w:tc>
        <w:tc>
          <w:tcPr>
            <w:tcW w:w="3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77C96F"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同上</w:t>
            </w:r>
          </w:p>
        </w:tc>
      </w:tr>
      <w:tr w14:paraId="7D01FA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85F87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E36CF5"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低压电缆</w:t>
            </w:r>
          </w:p>
        </w:tc>
        <w:tc>
          <w:tcPr>
            <w:tcW w:w="1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291B02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ZN-BV-3×10mm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vertAlign w:val="superscript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57764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米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24124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47</w:t>
            </w:r>
          </w:p>
        </w:tc>
        <w:tc>
          <w:tcPr>
            <w:tcW w:w="3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17E3BB"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同上</w:t>
            </w:r>
          </w:p>
        </w:tc>
      </w:tr>
      <w:tr w14:paraId="349697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EFDA7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60D00A">
            <w:pP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阻燃铜芯屏蔽软导线</w:t>
            </w:r>
          </w:p>
        </w:tc>
        <w:tc>
          <w:tcPr>
            <w:tcW w:w="1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457C3D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ZR-KVVP 2x1.5mm</w:t>
            </w: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vertAlign w:val="superscript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C2E92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米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FAEA1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000000"/>
                <w:sz w:val="18"/>
                <w:szCs w:val="18"/>
              </w:rPr>
              <w:t>00</w:t>
            </w:r>
          </w:p>
        </w:tc>
        <w:tc>
          <w:tcPr>
            <w:tcW w:w="3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E1D240">
            <w:pP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同上</w:t>
            </w:r>
          </w:p>
        </w:tc>
      </w:tr>
    </w:tbl>
    <w:p w14:paraId="5B64F384">
      <w:pPr>
        <w:spacing w:line="276" w:lineRule="auto"/>
        <w:ind w:firstLine="360" w:firstLineChars="200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表中涉及内容，以及施工、安装等过程中涉及的所有附件、辅材（配套镀锌钢管、接线端子、埋管、管帽、电缆挂牌、分线盒等）、二搬运工作等全部由乙方负责、安全文明施工等均需按标准完成，根据现场实际情况确定，在此不单独列明，投标时需充分考虑。</w:t>
      </w:r>
    </w:p>
    <w:p w14:paraId="7C8F9F86">
      <w:pPr>
        <w:spacing w:line="276" w:lineRule="auto"/>
        <w:ind w:firstLine="360" w:firstLineChars="200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电缆清册见</w:t>
      </w:r>
      <w:r>
        <w:rPr>
          <w:rFonts w:hint="eastAsia" w:ascii="宋体" w:hAnsi="宋体" w:eastAsia="宋体"/>
          <w:b/>
          <w:sz w:val="18"/>
          <w:szCs w:val="18"/>
        </w:rPr>
        <w:t>附件一、</w:t>
      </w:r>
      <w:r>
        <w:rPr>
          <w:rFonts w:hint="eastAsia" w:ascii="宋体" w:hAnsi="宋体" w:eastAsia="宋体"/>
          <w:sz w:val="18"/>
          <w:szCs w:val="18"/>
        </w:rPr>
        <w:t>照明系统设计说明见</w:t>
      </w:r>
      <w:r>
        <w:rPr>
          <w:rFonts w:hint="eastAsia" w:ascii="宋体" w:hAnsi="宋体" w:eastAsia="宋体"/>
          <w:b/>
          <w:sz w:val="18"/>
          <w:szCs w:val="18"/>
        </w:rPr>
        <w:t>附件二。</w:t>
      </w:r>
    </w:p>
    <w:p w14:paraId="75D6C282">
      <w:pPr>
        <w:pStyle w:val="8"/>
        <w:numPr>
          <w:ilvl w:val="0"/>
          <w:numId w:val="1"/>
        </w:numPr>
        <w:spacing w:line="276" w:lineRule="auto"/>
        <w:ind w:firstLineChars="0"/>
        <w:rPr>
          <w:rFonts w:ascii="宋体" w:hAnsi="宋体" w:eastAsia="宋体"/>
          <w:b/>
        </w:rPr>
      </w:pPr>
      <w:r>
        <w:rPr>
          <w:rFonts w:hint="eastAsia" w:ascii="宋体" w:hAnsi="宋体" w:eastAsia="宋体"/>
          <w:b/>
        </w:rPr>
        <w:t>工程/服务施工技术要求</w:t>
      </w:r>
    </w:p>
    <w:p w14:paraId="134F8B98">
      <w:pPr>
        <w:spacing w:line="276" w:lineRule="auto"/>
        <w:ind w:firstLine="360" w:firstLineChars="200"/>
        <w:rPr>
          <w:rFonts w:ascii="宋体" w:hAnsi="宋体" w:eastAsia="宋体"/>
          <w:sz w:val="18"/>
          <w:szCs w:val="18"/>
        </w:rPr>
      </w:pPr>
      <w:bookmarkStart w:id="1" w:name="_Hlk218791533"/>
      <w:r>
        <w:rPr>
          <w:rFonts w:hint="eastAsia" w:ascii="宋体" w:hAnsi="宋体" w:eastAsia="宋体"/>
          <w:sz w:val="18"/>
          <w:szCs w:val="18"/>
        </w:rPr>
        <w:t>投标方需到现场进行踏勘，报价时须</w:t>
      </w:r>
      <w:bookmarkStart w:id="2" w:name="_Hlk220187395"/>
      <w:r>
        <w:rPr>
          <w:rFonts w:hint="eastAsia" w:ascii="宋体" w:hAnsi="宋体" w:eastAsia="宋体"/>
          <w:sz w:val="18"/>
          <w:szCs w:val="18"/>
        </w:rPr>
        <w:t>提供</w:t>
      </w:r>
      <w:bookmarkEnd w:id="2"/>
      <w:r>
        <w:rPr>
          <w:rFonts w:hint="eastAsia" w:ascii="宋体" w:hAnsi="宋体" w:eastAsia="宋体"/>
          <w:b/>
          <w:sz w:val="18"/>
          <w:szCs w:val="18"/>
        </w:rPr>
        <w:t>施工技术方案</w:t>
      </w:r>
      <w:r>
        <w:rPr>
          <w:rFonts w:hint="eastAsia" w:ascii="宋体" w:hAnsi="宋体" w:eastAsia="宋体"/>
          <w:sz w:val="18"/>
          <w:szCs w:val="18"/>
        </w:rPr>
        <w:t>（含详细工程进度计划、施工组织设计），提出对项目的理解、重难点分析及合理化建议，隐蔽工程自检合格后通知甲方进行过程验收，同意后隐蔽。</w:t>
      </w:r>
    </w:p>
    <w:p w14:paraId="3AE0D328">
      <w:pPr>
        <w:spacing w:line="276" w:lineRule="auto"/>
        <w:ind w:firstLine="360" w:firstLineChars="200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签订合同后，投标方需在5个工作日内完善《施工技术方案》经甲方确认，并在改造工</w:t>
      </w:r>
      <w:r>
        <w:rPr>
          <w:rFonts w:hint="eastAsia" w:ascii="宋体" w:hAnsi="宋体" w:eastAsia="宋体"/>
          <w:sz w:val="18"/>
          <w:szCs w:val="18"/>
          <w:lang w:eastAsia="zh-CN"/>
        </w:rPr>
        <w:t>作中</w:t>
      </w:r>
      <w:r>
        <w:rPr>
          <w:rFonts w:hint="eastAsia" w:ascii="宋体" w:hAnsi="宋体" w:eastAsia="宋体"/>
          <w:sz w:val="18"/>
          <w:szCs w:val="18"/>
        </w:rPr>
        <w:t>严格执行。</w:t>
      </w:r>
    </w:p>
    <w:bookmarkEnd w:id="1"/>
    <w:p w14:paraId="3DF5A35C">
      <w:pPr>
        <w:pStyle w:val="8"/>
        <w:numPr>
          <w:ilvl w:val="1"/>
          <w:numId w:val="2"/>
        </w:numPr>
        <w:spacing w:line="276" w:lineRule="auto"/>
        <w:ind w:firstLineChars="0"/>
        <w:outlineLvl w:val="1"/>
        <w:rPr>
          <w:rFonts w:ascii="宋体" w:hAnsi="宋体" w:eastAsia="宋体"/>
          <w:sz w:val="18"/>
          <w:szCs w:val="18"/>
        </w:rPr>
      </w:pPr>
      <w:bookmarkStart w:id="3" w:name="_Toc11879"/>
      <w:r>
        <w:rPr>
          <w:rFonts w:hint="eastAsia" w:ascii="宋体" w:hAnsi="宋体" w:eastAsia="宋体"/>
          <w:sz w:val="18"/>
          <w:szCs w:val="18"/>
        </w:rPr>
        <w:t>工程/服务施工组织设计</w:t>
      </w:r>
      <w:bookmarkEnd w:id="3"/>
    </w:p>
    <w:p w14:paraId="0ABABAD1">
      <w:pPr>
        <w:pStyle w:val="8"/>
        <w:numPr>
          <w:ilvl w:val="2"/>
          <w:numId w:val="2"/>
        </w:numPr>
        <w:spacing w:line="276" w:lineRule="auto"/>
        <w:ind w:firstLineChars="0"/>
        <w:outlineLvl w:val="1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投标人编制施工组织设计的要求：</w:t>
      </w:r>
    </w:p>
    <w:p w14:paraId="5017613C">
      <w:pPr>
        <w:pStyle w:val="8"/>
        <w:spacing w:line="276" w:lineRule="auto"/>
        <w:ind w:left="1418" w:firstLine="0" w:firstLineChars="0"/>
        <w:outlineLvl w:val="1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编制时应采用文字并结合图表形式说明施工方法、拟投入的主要施工设备、劳动力计划等；结合工程特点提出切实可行的工程质量、工程进度、技术组织措施，同时应对关键工序、复杂环节重点提出相应技术措施，减少</w:t>
      </w:r>
      <w:r>
        <w:rPr>
          <w:rFonts w:hint="eastAsia" w:ascii="宋体" w:hAnsi="宋体" w:eastAsia="宋体"/>
          <w:sz w:val="18"/>
          <w:szCs w:val="18"/>
          <w:lang w:eastAsia="zh-CN"/>
        </w:rPr>
        <w:t>噪声</w:t>
      </w:r>
      <w:r>
        <w:rPr>
          <w:rFonts w:hint="eastAsia" w:ascii="宋体" w:hAnsi="宋体" w:eastAsia="宋体"/>
          <w:sz w:val="18"/>
          <w:szCs w:val="18"/>
        </w:rPr>
        <w:t>、降低粉尘、成品养护周期以及地下管线及其他地上地下设施的保护加固措施等。</w:t>
      </w:r>
    </w:p>
    <w:p w14:paraId="183AA9BA">
      <w:pPr>
        <w:pStyle w:val="8"/>
        <w:numPr>
          <w:ilvl w:val="2"/>
          <w:numId w:val="2"/>
        </w:numPr>
        <w:spacing w:line="276" w:lineRule="auto"/>
        <w:ind w:firstLineChars="0"/>
        <w:outlineLvl w:val="1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施工组织设计除采用文字表述外可</w:t>
      </w:r>
      <w:r>
        <w:rPr>
          <w:rFonts w:hint="eastAsia" w:ascii="宋体" w:hAnsi="宋体" w:eastAsia="宋体"/>
          <w:sz w:val="18"/>
          <w:szCs w:val="18"/>
          <w:lang w:eastAsia="zh-CN"/>
        </w:rPr>
        <w:t>参考</w:t>
      </w:r>
      <w:r>
        <w:rPr>
          <w:rFonts w:hint="eastAsia" w:ascii="宋体" w:hAnsi="宋体" w:eastAsia="宋体"/>
          <w:sz w:val="18"/>
          <w:szCs w:val="18"/>
        </w:rPr>
        <w:t>下列图表。</w:t>
      </w:r>
      <w:r>
        <w:rPr>
          <w:rFonts w:ascii="宋体" w:hAnsi="宋体" w:eastAsia="宋体"/>
          <w:sz w:val="18"/>
          <w:szCs w:val="18"/>
        </w:rPr>
        <w:t xml:space="preserve"> </w:t>
      </w:r>
    </w:p>
    <w:p w14:paraId="1129035B">
      <w:pPr>
        <w:pStyle w:val="8"/>
        <w:spacing w:line="276" w:lineRule="auto"/>
        <w:ind w:left="425" w:firstLine="0" w:firstLineChars="0"/>
        <w:jc w:val="center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图表1</w:t>
      </w:r>
      <w:r>
        <w:rPr>
          <w:rFonts w:ascii="宋体" w:hAnsi="宋体" w:eastAsia="宋体"/>
          <w:sz w:val="18"/>
          <w:szCs w:val="18"/>
        </w:rPr>
        <w:t>.</w:t>
      </w:r>
      <w:r>
        <w:rPr>
          <w:rFonts w:hint="eastAsia" w:ascii="宋体" w:hAnsi="宋体" w:eastAsia="宋体"/>
          <w:sz w:val="18"/>
          <w:szCs w:val="18"/>
        </w:rPr>
        <w:t>拟投入本项目的主要施工设备表</w:t>
      </w:r>
    </w:p>
    <w:tbl>
      <w:tblPr>
        <w:tblStyle w:val="5"/>
        <w:tblW w:w="9351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1985"/>
        <w:gridCol w:w="1842"/>
        <w:gridCol w:w="709"/>
        <w:gridCol w:w="1680"/>
        <w:gridCol w:w="1297"/>
        <w:gridCol w:w="1134"/>
      </w:tblGrid>
      <w:tr w14:paraId="1656BF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F995B3">
            <w:pPr>
              <w:spacing w:line="240" w:lineRule="exact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2610D0">
            <w:pPr>
              <w:spacing w:line="240" w:lineRule="exact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设备名称</w:t>
            </w: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4943CCD">
            <w:pPr>
              <w:spacing w:line="240" w:lineRule="exact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型号规格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66F25F">
            <w:pPr>
              <w:spacing w:line="240" w:lineRule="exact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数量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11C970">
            <w:pPr>
              <w:spacing w:line="240" w:lineRule="exact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额定功率（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lang w:eastAsia="zh-CN"/>
              </w:rPr>
              <w:t>kW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340CDE">
            <w:pPr>
              <w:spacing w:line="240" w:lineRule="exact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用于施工部位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4792B5F">
            <w:pPr>
              <w:spacing w:line="240" w:lineRule="exact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备注</w:t>
            </w:r>
          </w:p>
        </w:tc>
      </w:tr>
      <w:tr w14:paraId="7A1880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8F366B3">
            <w:pPr>
              <w:spacing w:line="240" w:lineRule="exac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673D319">
            <w:pPr>
              <w:spacing w:line="240" w:lineRule="exac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A1882A">
            <w:pPr>
              <w:spacing w:line="240" w:lineRule="exac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27CEB0">
            <w:pPr>
              <w:spacing w:line="240" w:lineRule="exac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BDCE6B">
            <w:pPr>
              <w:spacing w:line="240" w:lineRule="exac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7B2F5B">
            <w:pPr>
              <w:spacing w:line="240" w:lineRule="exact"/>
              <w:jc w:val="lef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E704FC9">
            <w:pPr>
              <w:spacing w:line="240" w:lineRule="exact"/>
              <w:jc w:val="lef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</w:tr>
      <w:tr w14:paraId="28E0E7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4B0614">
            <w:pPr>
              <w:spacing w:line="240" w:lineRule="exac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AC629B">
            <w:pPr>
              <w:spacing w:line="240" w:lineRule="exac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6228E6F">
            <w:pPr>
              <w:spacing w:line="240" w:lineRule="exac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9FDFF3F">
            <w:pPr>
              <w:spacing w:line="240" w:lineRule="exac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AC7356">
            <w:pPr>
              <w:spacing w:line="240" w:lineRule="exac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2F7617">
            <w:pPr>
              <w:spacing w:line="240" w:lineRule="exact"/>
              <w:jc w:val="lef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69FAEF">
            <w:pPr>
              <w:spacing w:line="240" w:lineRule="exact"/>
              <w:jc w:val="lef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</w:tr>
      <w:tr w14:paraId="6746A6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B1CCB8">
            <w:pPr>
              <w:spacing w:line="240" w:lineRule="exac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B87B3FE">
            <w:pPr>
              <w:spacing w:line="240" w:lineRule="exac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9AF538">
            <w:pPr>
              <w:spacing w:line="240" w:lineRule="exac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F19738">
            <w:pPr>
              <w:spacing w:line="240" w:lineRule="exac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559FDAA">
            <w:pPr>
              <w:spacing w:line="240" w:lineRule="exac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7EE6F1">
            <w:pPr>
              <w:spacing w:line="240" w:lineRule="exact"/>
              <w:jc w:val="lef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26364A">
            <w:pPr>
              <w:spacing w:line="240" w:lineRule="exact"/>
              <w:jc w:val="lef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</w:tr>
      <w:tr w14:paraId="705FBD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63C5D7">
            <w:pPr>
              <w:spacing w:line="240" w:lineRule="exac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64E611B">
            <w:pPr>
              <w:spacing w:line="240" w:lineRule="exac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A4D508">
            <w:pPr>
              <w:spacing w:line="240" w:lineRule="exac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AD5101">
            <w:pPr>
              <w:spacing w:line="240" w:lineRule="exac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DE0C011">
            <w:pPr>
              <w:spacing w:line="240" w:lineRule="exac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076B88">
            <w:pPr>
              <w:spacing w:line="240" w:lineRule="exact"/>
              <w:jc w:val="lef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01D8A8">
            <w:pPr>
              <w:spacing w:line="240" w:lineRule="exact"/>
              <w:jc w:val="lef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</w:tr>
    </w:tbl>
    <w:p w14:paraId="73F3F510">
      <w:pPr>
        <w:jc w:val="center"/>
        <w:outlineLvl w:val="2"/>
        <w:rPr>
          <w:rFonts w:ascii="宋体" w:hAnsi="宋体" w:eastAsia="宋体" w:cs="宋体"/>
          <w:color w:val="000000"/>
          <w:sz w:val="18"/>
          <w:szCs w:val="18"/>
        </w:rPr>
      </w:pPr>
      <w:bookmarkStart w:id="4" w:name="_Toc7448"/>
      <w:r>
        <w:rPr>
          <w:rFonts w:hint="eastAsia" w:ascii="宋体" w:hAnsi="宋体" w:eastAsia="宋体" w:cs="宋体"/>
          <w:color w:val="000000"/>
          <w:sz w:val="18"/>
          <w:szCs w:val="18"/>
        </w:rPr>
        <w:t>图表</w:t>
      </w:r>
      <w:r>
        <w:rPr>
          <w:rFonts w:ascii="宋体" w:hAnsi="宋体" w:eastAsia="宋体" w:cs="宋体"/>
          <w:color w:val="000000"/>
          <w:sz w:val="18"/>
          <w:szCs w:val="18"/>
        </w:rPr>
        <w:t>2.</w:t>
      </w:r>
      <w:r>
        <w:rPr>
          <w:rFonts w:hint="eastAsia" w:ascii="宋体" w:hAnsi="宋体" w:eastAsia="宋体" w:cs="宋体"/>
          <w:color w:val="000000"/>
          <w:sz w:val="18"/>
          <w:szCs w:val="18"/>
        </w:rPr>
        <w:t>劳动力计划表</w:t>
      </w:r>
      <w:bookmarkEnd w:id="4"/>
    </w:p>
    <w:tbl>
      <w:tblPr>
        <w:tblStyle w:val="5"/>
        <w:tblW w:w="9286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8"/>
        <w:gridCol w:w="1194"/>
        <w:gridCol w:w="1194"/>
        <w:gridCol w:w="1194"/>
        <w:gridCol w:w="1194"/>
        <w:gridCol w:w="1194"/>
        <w:gridCol w:w="1196"/>
        <w:gridCol w:w="1042"/>
      </w:tblGrid>
      <w:tr w14:paraId="7479AD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10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F2CF3A">
            <w:pPr>
              <w:spacing w:line="240" w:lineRule="exact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工种</w:t>
            </w:r>
          </w:p>
        </w:tc>
        <w:tc>
          <w:tcPr>
            <w:tcW w:w="8208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081116">
            <w:pPr>
              <w:spacing w:line="240" w:lineRule="exact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z w:val="18"/>
                <w:szCs w:val="18"/>
              </w:rPr>
              <w:t xml:space="preserve">                  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 xml:space="preserve">按工程施工阶段投入劳动力情况 </w:t>
            </w:r>
            <w:r>
              <w:rPr>
                <w:rFonts w:ascii="宋体" w:hAnsi="宋体" w:eastAsia="宋体" w:cs="宋体"/>
                <w:color w:val="000000"/>
                <w:sz w:val="18"/>
                <w:szCs w:val="18"/>
              </w:rPr>
              <w:t xml:space="preserve">                              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单位：人</w:t>
            </w:r>
          </w:p>
        </w:tc>
      </w:tr>
      <w:tr w14:paraId="450A36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  <w:jc w:val="center"/>
        </w:trPr>
        <w:tc>
          <w:tcPr>
            <w:tcW w:w="10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5DDF6CB">
            <w:pPr>
              <w:spacing w:line="240" w:lineRule="exac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B56F156">
            <w:pPr>
              <w:spacing w:line="240" w:lineRule="exac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D1B15C3">
            <w:pPr>
              <w:spacing w:line="240" w:lineRule="exac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72934C9">
            <w:pPr>
              <w:spacing w:line="240" w:lineRule="exac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1487ABD">
            <w:pPr>
              <w:spacing w:line="240" w:lineRule="exac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84CD077">
            <w:pPr>
              <w:spacing w:line="240" w:lineRule="exact"/>
              <w:jc w:val="lef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E2342FE">
            <w:pPr>
              <w:spacing w:line="240" w:lineRule="exact"/>
              <w:jc w:val="lef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0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BCEE969">
            <w:pPr>
              <w:spacing w:line="240" w:lineRule="exact"/>
              <w:jc w:val="lef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</w:tr>
      <w:tr w14:paraId="424FBD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  <w:jc w:val="center"/>
        </w:trPr>
        <w:tc>
          <w:tcPr>
            <w:tcW w:w="10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D1B9D73">
            <w:pPr>
              <w:spacing w:line="240" w:lineRule="exac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8802E45">
            <w:pPr>
              <w:spacing w:line="240" w:lineRule="exac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D6CBF96">
            <w:pPr>
              <w:spacing w:line="240" w:lineRule="exac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3043B86">
            <w:pPr>
              <w:spacing w:line="240" w:lineRule="exac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34295AB">
            <w:pPr>
              <w:spacing w:line="240" w:lineRule="exac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E81B426">
            <w:pPr>
              <w:spacing w:line="240" w:lineRule="exact"/>
              <w:jc w:val="lef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7BBA070">
            <w:pPr>
              <w:spacing w:line="240" w:lineRule="exact"/>
              <w:jc w:val="lef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0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945D569">
            <w:pPr>
              <w:spacing w:line="240" w:lineRule="exact"/>
              <w:jc w:val="lef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</w:tr>
      <w:tr w14:paraId="01FBCF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  <w:jc w:val="center"/>
        </w:trPr>
        <w:tc>
          <w:tcPr>
            <w:tcW w:w="10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806152E">
            <w:pPr>
              <w:spacing w:line="240" w:lineRule="exac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A3483E0">
            <w:pPr>
              <w:spacing w:line="240" w:lineRule="exac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C6AAFE2">
            <w:pPr>
              <w:spacing w:line="240" w:lineRule="exac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14A5513">
            <w:pPr>
              <w:spacing w:line="240" w:lineRule="exac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7D09DBB">
            <w:pPr>
              <w:spacing w:line="240" w:lineRule="exac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DE2A7FE">
            <w:pPr>
              <w:spacing w:line="240" w:lineRule="exact"/>
              <w:jc w:val="lef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86FFCC4">
            <w:pPr>
              <w:spacing w:line="240" w:lineRule="exact"/>
              <w:jc w:val="lef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0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F329F44">
            <w:pPr>
              <w:spacing w:line="240" w:lineRule="exact"/>
              <w:jc w:val="lef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</w:tr>
      <w:tr w14:paraId="6726A2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  <w:jc w:val="center"/>
        </w:trPr>
        <w:tc>
          <w:tcPr>
            <w:tcW w:w="10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4E39EC5">
            <w:pPr>
              <w:spacing w:line="240" w:lineRule="exac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3644895">
            <w:pPr>
              <w:spacing w:line="240" w:lineRule="exac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E43A044">
            <w:pPr>
              <w:spacing w:line="240" w:lineRule="exac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D0AD884">
            <w:pPr>
              <w:spacing w:line="240" w:lineRule="exac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E745A4E">
            <w:pPr>
              <w:spacing w:line="240" w:lineRule="exac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B401BF7">
            <w:pPr>
              <w:spacing w:line="240" w:lineRule="exact"/>
              <w:jc w:val="lef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A3D18BA">
            <w:pPr>
              <w:spacing w:line="240" w:lineRule="exact"/>
              <w:jc w:val="lef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0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2211C7C">
            <w:pPr>
              <w:spacing w:line="240" w:lineRule="exact"/>
              <w:jc w:val="left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</w:tr>
    </w:tbl>
    <w:p w14:paraId="7EFDF1E3">
      <w:pPr>
        <w:jc w:val="center"/>
        <w:outlineLvl w:val="2"/>
        <w:rPr>
          <w:rFonts w:ascii="宋体" w:hAnsi="宋体" w:eastAsia="宋体" w:cs="宋体"/>
          <w:color w:val="000000"/>
          <w:sz w:val="18"/>
          <w:szCs w:val="18"/>
        </w:rPr>
      </w:pPr>
      <w:bookmarkStart w:id="5" w:name="_Toc169"/>
      <w:r>
        <w:rPr>
          <w:rFonts w:hint="eastAsia" w:ascii="宋体" w:hAnsi="宋体" w:eastAsia="宋体" w:cs="宋体"/>
          <w:color w:val="000000"/>
          <w:sz w:val="18"/>
          <w:szCs w:val="18"/>
        </w:rPr>
        <w:t>图表</w:t>
      </w:r>
      <w:r>
        <w:rPr>
          <w:rFonts w:ascii="宋体" w:hAnsi="宋体" w:eastAsia="宋体" w:cs="宋体"/>
          <w:color w:val="000000"/>
          <w:sz w:val="18"/>
          <w:szCs w:val="18"/>
        </w:rPr>
        <w:t>3.</w:t>
      </w:r>
      <w:r>
        <w:rPr>
          <w:rFonts w:hint="eastAsia" w:ascii="宋体" w:hAnsi="宋体" w:eastAsia="宋体" w:cs="宋体"/>
          <w:color w:val="000000"/>
          <w:sz w:val="18"/>
          <w:szCs w:val="18"/>
        </w:rPr>
        <w:t>计划开、竣工日期和施工进度网络图</w:t>
      </w:r>
      <w:bookmarkEnd w:id="5"/>
    </w:p>
    <w:p w14:paraId="0B1C3547">
      <w:pPr>
        <w:spacing w:line="360" w:lineRule="auto"/>
        <w:ind w:firstLine="360" w:firstLineChars="200"/>
        <w:jc w:val="left"/>
        <w:rPr>
          <w:rFonts w:ascii="宋体" w:hAnsi="宋体" w:eastAsia="宋体" w:cs="宋体"/>
          <w:color w:val="000000"/>
          <w:sz w:val="18"/>
          <w:szCs w:val="18"/>
        </w:rPr>
      </w:pPr>
      <w:r>
        <w:rPr>
          <w:rFonts w:hint="eastAsia" w:ascii="宋体" w:hAnsi="宋体" w:eastAsia="宋体" w:cs="宋体"/>
          <w:color w:val="000000"/>
          <w:sz w:val="18"/>
          <w:szCs w:val="18"/>
        </w:rPr>
        <w:t>（1）投标人应递交施工进度网络图或施工进度表，说明按招标文件要求的计划工期进行施工的各个关键日期。</w:t>
      </w:r>
    </w:p>
    <w:p w14:paraId="5D89082B">
      <w:pPr>
        <w:spacing w:line="360" w:lineRule="auto"/>
        <w:ind w:firstLine="360" w:firstLineChars="200"/>
        <w:jc w:val="left"/>
        <w:rPr>
          <w:rFonts w:ascii="宋体" w:hAnsi="宋体" w:eastAsia="宋体" w:cs="宋体"/>
          <w:color w:val="000000"/>
          <w:sz w:val="18"/>
          <w:szCs w:val="18"/>
        </w:rPr>
      </w:pPr>
      <w:r>
        <w:rPr>
          <w:rFonts w:hint="eastAsia" w:ascii="宋体" w:hAnsi="宋体" w:eastAsia="宋体" w:cs="宋体"/>
          <w:color w:val="000000"/>
          <w:sz w:val="18"/>
          <w:szCs w:val="18"/>
        </w:rPr>
        <w:t>（2）施工进度表可采用网络图（或横道图）表示。</w:t>
      </w:r>
    </w:p>
    <w:p w14:paraId="5B13C6D7">
      <w:pPr>
        <w:pStyle w:val="8"/>
        <w:numPr>
          <w:ilvl w:val="1"/>
          <w:numId w:val="2"/>
        </w:numPr>
        <w:spacing w:line="276" w:lineRule="auto"/>
        <w:ind w:firstLineChars="0"/>
        <w:outlineLvl w:val="1"/>
        <w:rPr>
          <w:rFonts w:ascii="宋体" w:hAnsi="宋体" w:eastAsia="宋体"/>
          <w:sz w:val="18"/>
          <w:szCs w:val="18"/>
        </w:rPr>
      </w:pPr>
      <w:bookmarkStart w:id="6" w:name="_Toc2109"/>
      <w:r>
        <w:rPr>
          <w:rFonts w:hint="eastAsia" w:ascii="宋体" w:hAnsi="宋体" w:eastAsia="宋体"/>
          <w:sz w:val="18"/>
          <w:szCs w:val="18"/>
        </w:rPr>
        <w:t>设备、材料技术指标与选型</w:t>
      </w:r>
      <w:bookmarkEnd w:id="6"/>
    </w:p>
    <w:p w14:paraId="6B969142">
      <w:pPr>
        <w:spacing w:line="276" w:lineRule="auto"/>
        <w:jc w:val="center"/>
        <w:rPr>
          <w:rFonts w:ascii="宋体" w:hAnsi="宋体" w:eastAsia="宋体" w:cs="宋体"/>
          <w:color w:val="000000"/>
          <w:sz w:val="18"/>
          <w:szCs w:val="18"/>
        </w:rPr>
      </w:pPr>
      <w:bookmarkStart w:id="7" w:name="_Toc13113"/>
      <w:bookmarkStart w:id="8" w:name="_Toc80107821"/>
      <w:bookmarkStart w:id="9" w:name="_Toc493600041"/>
      <w:bookmarkStart w:id="10" w:name="_Toc213141099"/>
      <w:bookmarkStart w:id="11" w:name="_Toc60650412"/>
      <w:r>
        <w:rPr>
          <w:rFonts w:hint="eastAsia" w:ascii="宋体" w:hAnsi="宋体" w:eastAsia="宋体" w:cs="宋体"/>
          <w:color w:val="000000"/>
          <w:sz w:val="18"/>
          <w:szCs w:val="18"/>
        </w:rPr>
        <w:t>设备、材料技术响应及偏离表</w:t>
      </w:r>
      <w:bookmarkEnd w:id="7"/>
      <w:bookmarkEnd w:id="8"/>
      <w:bookmarkEnd w:id="9"/>
      <w:bookmarkEnd w:id="10"/>
      <w:bookmarkEnd w:id="11"/>
    </w:p>
    <w:tbl>
      <w:tblPr>
        <w:tblStyle w:val="5"/>
        <w:tblW w:w="94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1134"/>
        <w:gridCol w:w="1418"/>
        <w:gridCol w:w="2272"/>
        <w:gridCol w:w="2268"/>
        <w:gridCol w:w="993"/>
        <w:gridCol w:w="708"/>
      </w:tblGrid>
      <w:tr w14:paraId="2A7528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3" w:hRule="atLeast"/>
          <w:jc w:val="center"/>
        </w:trPr>
        <w:tc>
          <w:tcPr>
            <w:tcW w:w="704" w:type="dxa"/>
            <w:vAlign w:val="center"/>
          </w:tcPr>
          <w:p w14:paraId="5D2A81E7">
            <w:pPr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134" w:type="dxa"/>
            <w:vAlign w:val="center"/>
          </w:tcPr>
          <w:p w14:paraId="65E85FDA">
            <w:pPr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设备、材料名称</w:t>
            </w:r>
          </w:p>
        </w:tc>
        <w:tc>
          <w:tcPr>
            <w:tcW w:w="1418" w:type="dxa"/>
            <w:vAlign w:val="center"/>
          </w:tcPr>
          <w:p w14:paraId="74042E94">
            <w:pPr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招标文件技术规范、要求</w:t>
            </w:r>
          </w:p>
        </w:tc>
        <w:tc>
          <w:tcPr>
            <w:tcW w:w="2272" w:type="dxa"/>
            <w:vAlign w:val="center"/>
          </w:tcPr>
          <w:p w14:paraId="1899E3C6">
            <w:pPr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投标产品品牌、型号</w:t>
            </w:r>
          </w:p>
        </w:tc>
        <w:tc>
          <w:tcPr>
            <w:tcW w:w="2268" w:type="dxa"/>
            <w:vAlign w:val="center"/>
          </w:tcPr>
          <w:p w14:paraId="5DD63074">
            <w:pPr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投标产品技术指标响应情况</w:t>
            </w:r>
          </w:p>
        </w:tc>
        <w:tc>
          <w:tcPr>
            <w:tcW w:w="993" w:type="dxa"/>
            <w:vAlign w:val="center"/>
          </w:tcPr>
          <w:p w14:paraId="5C529B91">
            <w:pPr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偏离情况</w:t>
            </w:r>
          </w:p>
        </w:tc>
        <w:tc>
          <w:tcPr>
            <w:tcW w:w="708" w:type="dxa"/>
            <w:vAlign w:val="center"/>
          </w:tcPr>
          <w:p w14:paraId="1F982FDE">
            <w:pPr>
              <w:spacing w:line="276" w:lineRule="auto"/>
              <w:ind w:right="71" w:rightChars="34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备注</w:t>
            </w:r>
          </w:p>
        </w:tc>
      </w:tr>
      <w:tr w14:paraId="37D0C5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5" w:hRule="atLeast"/>
          <w:jc w:val="center"/>
        </w:trPr>
        <w:tc>
          <w:tcPr>
            <w:tcW w:w="704" w:type="dxa"/>
            <w:vAlign w:val="center"/>
          </w:tcPr>
          <w:p w14:paraId="755C98CD">
            <w:pPr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C793C19">
            <w:pPr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1FF8CBF9">
            <w:pPr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2272" w:type="dxa"/>
            <w:vAlign w:val="center"/>
          </w:tcPr>
          <w:p w14:paraId="7F784603">
            <w:pPr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31B1D1BB">
            <w:pPr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14:paraId="56B7DA83">
            <w:pPr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0C6A4E83">
            <w:pPr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</w:tr>
      <w:tr w14:paraId="3A62F1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7" w:hRule="atLeast"/>
          <w:jc w:val="center"/>
        </w:trPr>
        <w:tc>
          <w:tcPr>
            <w:tcW w:w="704" w:type="dxa"/>
            <w:vAlign w:val="center"/>
          </w:tcPr>
          <w:p w14:paraId="6D64CD7D">
            <w:pPr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47CDD69">
            <w:pPr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3A693BC9">
            <w:pPr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2272" w:type="dxa"/>
            <w:vAlign w:val="center"/>
          </w:tcPr>
          <w:p w14:paraId="3CB40097">
            <w:pPr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2CF3636A">
            <w:pPr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14:paraId="2D5CC515">
            <w:pPr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112F2F09">
            <w:pPr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</w:tr>
      <w:tr w14:paraId="374670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7" w:hRule="atLeast"/>
          <w:jc w:val="center"/>
        </w:trPr>
        <w:tc>
          <w:tcPr>
            <w:tcW w:w="704" w:type="dxa"/>
            <w:vAlign w:val="center"/>
          </w:tcPr>
          <w:p w14:paraId="4A39C035">
            <w:pPr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0290A9D">
            <w:pPr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29DFC20B">
            <w:pPr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2272" w:type="dxa"/>
            <w:vAlign w:val="center"/>
          </w:tcPr>
          <w:p w14:paraId="79199BA2">
            <w:pPr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0436C53D">
            <w:pPr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14:paraId="371C2DF1">
            <w:pPr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0F806537">
            <w:pPr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</w:tr>
      <w:tr w14:paraId="0DCFEB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7" w:hRule="atLeast"/>
          <w:jc w:val="center"/>
        </w:trPr>
        <w:tc>
          <w:tcPr>
            <w:tcW w:w="704" w:type="dxa"/>
            <w:vAlign w:val="center"/>
          </w:tcPr>
          <w:p w14:paraId="537D5C65">
            <w:pPr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06BC7C1">
            <w:pPr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39589DBC">
            <w:pPr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2272" w:type="dxa"/>
            <w:vAlign w:val="center"/>
          </w:tcPr>
          <w:p w14:paraId="3251E652">
            <w:pPr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6C5065B1">
            <w:pPr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14:paraId="2AAB702A">
            <w:pPr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50764F1E">
            <w:pPr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</w:tr>
      <w:tr w14:paraId="3EEFCF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7" w:hRule="atLeast"/>
          <w:jc w:val="center"/>
        </w:trPr>
        <w:tc>
          <w:tcPr>
            <w:tcW w:w="704" w:type="dxa"/>
            <w:vAlign w:val="center"/>
          </w:tcPr>
          <w:p w14:paraId="74B001AE">
            <w:pPr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D2C390C">
            <w:pPr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73A2BCBF">
            <w:pPr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2272" w:type="dxa"/>
            <w:vAlign w:val="center"/>
          </w:tcPr>
          <w:p w14:paraId="0A5042AF">
            <w:pPr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7BAEF67A">
            <w:pPr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14:paraId="40CA5526">
            <w:pPr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7D06BF4D">
            <w:pPr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</w:tr>
    </w:tbl>
    <w:p w14:paraId="6AF2F503">
      <w:pPr>
        <w:spacing w:line="276" w:lineRule="auto"/>
        <w:rPr>
          <w:rFonts w:ascii="宋体" w:hAnsi="宋体" w:eastAsia="宋体" w:cs="宋体"/>
          <w:color w:val="000000"/>
          <w:sz w:val="18"/>
          <w:szCs w:val="18"/>
        </w:rPr>
      </w:pPr>
      <w:r>
        <w:rPr>
          <w:rFonts w:hint="eastAsia" w:ascii="宋体" w:hAnsi="宋体" w:eastAsia="宋体" w:cs="宋体"/>
          <w:color w:val="000000"/>
          <w:sz w:val="18"/>
          <w:szCs w:val="18"/>
        </w:rPr>
        <w:t>投标人可提供设备、材料相关证明材料作为附件。偏离情况，请如实填“正偏离</w:t>
      </w:r>
      <w:r>
        <w:rPr>
          <w:rFonts w:hint="eastAsia" w:ascii="宋体" w:hAnsi="宋体" w:eastAsia="宋体" w:cs="宋体"/>
          <w:color w:val="000000"/>
          <w:sz w:val="18"/>
          <w:szCs w:val="18"/>
          <w:lang w:eastAsia="zh-CN"/>
        </w:rPr>
        <w:t>”“</w:t>
      </w:r>
      <w:r>
        <w:rPr>
          <w:rFonts w:hint="eastAsia" w:ascii="宋体" w:hAnsi="宋体" w:eastAsia="宋体" w:cs="宋体"/>
          <w:color w:val="000000"/>
          <w:sz w:val="18"/>
          <w:szCs w:val="18"/>
        </w:rPr>
        <w:t>负偏离”或“无偏离”。</w:t>
      </w:r>
    </w:p>
    <w:p w14:paraId="75A1A2C9">
      <w:pPr>
        <w:pStyle w:val="8"/>
        <w:numPr>
          <w:ilvl w:val="1"/>
          <w:numId w:val="2"/>
        </w:numPr>
        <w:spacing w:line="276" w:lineRule="auto"/>
        <w:ind w:firstLineChars="0"/>
        <w:outlineLvl w:val="1"/>
        <w:rPr>
          <w:rFonts w:ascii="宋体" w:hAnsi="宋体" w:eastAsia="宋体"/>
          <w:sz w:val="18"/>
          <w:szCs w:val="18"/>
        </w:rPr>
      </w:pPr>
      <w:bookmarkStart w:id="12" w:name="_Toc17833"/>
      <w:r>
        <w:rPr>
          <w:rFonts w:hint="eastAsia" w:ascii="宋体" w:hAnsi="宋体" w:eastAsia="宋体"/>
          <w:sz w:val="18"/>
          <w:szCs w:val="18"/>
        </w:rPr>
        <w:t>项目管理机构</w:t>
      </w:r>
      <w:bookmarkEnd w:id="12"/>
    </w:p>
    <w:p w14:paraId="56D83F80">
      <w:pPr>
        <w:spacing w:line="276" w:lineRule="auto"/>
        <w:jc w:val="center"/>
        <w:rPr>
          <w:rFonts w:ascii="宋体" w:hAnsi="宋体" w:eastAsia="宋体" w:cs="宋体"/>
          <w:color w:val="000000"/>
          <w:sz w:val="18"/>
          <w:szCs w:val="18"/>
        </w:rPr>
      </w:pPr>
      <w:r>
        <w:rPr>
          <w:rFonts w:hint="eastAsia" w:ascii="宋体" w:hAnsi="宋体" w:eastAsia="宋体" w:cs="宋体"/>
          <w:color w:val="000000"/>
          <w:sz w:val="18"/>
          <w:szCs w:val="18"/>
        </w:rPr>
        <w:t>项目管理机构组成表</w:t>
      </w:r>
    </w:p>
    <w:tbl>
      <w:tblPr>
        <w:tblStyle w:val="5"/>
        <w:tblW w:w="935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0"/>
        <w:gridCol w:w="709"/>
        <w:gridCol w:w="709"/>
        <w:gridCol w:w="1276"/>
        <w:gridCol w:w="1135"/>
        <w:gridCol w:w="709"/>
        <w:gridCol w:w="803"/>
        <w:gridCol w:w="1554"/>
        <w:gridCol w:w="1276"/>
      </w:tblGrid>
      <w:tr w14:paraId="709B6C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3" w:hRule="atLeast"/>
          <w:jc w:val="center"/>
        </w:trPr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45E8D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岗位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C89B9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姓名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B960F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性别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961FD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出生年月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E328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工作年限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BC1AD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职称</w:t>
            </w:r>
          </w:p>
        </w:tc>
        <w:tc>
          <w:tcPr>
            <w:tcW w:w="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F1F59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学历</w:t>
            </w:r>
          </w:p>
        </w:tc>
        <w:tc>
          <w:tcPr>
            <w:tcW w:w="1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1B1A1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岗位证书（资格证书）及编号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BC129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岗位要求</w:t>
            </w:r>
          </w:p>
        </w:tc>
      </w:tr>
      <w:tr w14:paraId="4BE995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  <w:jc w:val="center"/>
        </w:trPr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01179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项目负责人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DE85F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A11CC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C6159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90FD6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0B4B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269DB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A502C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341D8F">
            <w:pPr>
              <w:spacing w:line="276" w:lineRule="auto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专职：</w:t>
            </w:r>
            <w:r>
              <w:rPr>
                <w:rFonts w:ascii="Segoe UI Emoji" w:hAnsi="Segoe UI Emoji" w:eastAsia="宋体" w:cs="Segoe UI Emoji"/>
                <w:color w:val="000000"/>
                <w:sz w:val="18"/>
                <w:szCs w:val="18"/>
              </w:rPr>
              <w:t>☑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 xml:space="preserve"> </w:t>
            </w:r>
          </w:p>
          <w:p w14:paraId="0B2A48B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可兼任：□</w:t>
            </w:r>
          </w:p>
        </w:tc>
      </w:tr>
      <w:tr w14:paraId="5B7D2B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  <w:jc w:val="center"/>
        </w:trPr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D73E6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技术负责人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6DEBC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C5BB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EA02D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139C3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A539C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8608B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84F2C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DCF2B6">
            <w:pPr>
              <w:spacing w:line="276" w:lineRule="auto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专职：</w:t>
            </w:r>
            <w:r>
              <w:rPr>
                <w:rFonts w:ascii="Segoe UI Emoji" w:hAnsi="Segoe UI Emoji" w:eastAsia="宋体" w:cs="Segoe UI Emoji"/>
                <w:color w:val="000000"/>
                <w:sz w:val="18"/>
                <w:szCs w:val="18"/>
              </w:rPr>
              <w:t>☑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 xml:space="preserve"> </w:t>
            </w:r>
          </w:p>
          <w:p w14:paraId="68A45E6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可兼任：□</w:t>
            </w:r>
          </w:p>
        </w:tc>
      </w:tr>
      <w:tr w14:paraId="2987B7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4" w:hRule="atLeast"/>
          <w:jc w:val="center"/>
        </w:trPr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3629D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安全员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886D2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4CE06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880EE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0C77F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6AEB9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14320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F57DD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A38D5E">
            <w:pPr>
              <w:spacing w:line="276" w:lineRule="auto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专职：</w:t>
            </w:r>
            <w:r>
              <w:rPr>
                <w:rFonts w:ascii="Segoe UI Emoji" w:hAnsi="Segoe UI Emoji" w:eastAsia="宋体" w:cs="Segoe UI Emoji"/>
                <w:color w:val="000000"/>
                <w:sz w:val="18"/>
                <w:szCs w:val="18"/>
              </w:rPr>
              <w:t>☑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 xml:space="preserve"> </w:t>
            </w:r>
          </w:p>
          <w:p w14:paraId="7B0AE5D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可兼任：□</w:t>
            </w:r>
          </w:p>
        </w:tc>
      </w:tr>
      <w:tr w14:paraId="030F20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4" w:hRule="atLeast"/>
          <w:jc w:val="center"/>
        </w:trPr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E9F0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...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D3A1E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80B2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797FF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C8D89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A7D18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4EAE2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62CE3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FABD6C">
            <w:pPr>
              <w:spacing w:line="276" w:lineRule="auto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 xml:space="preserve">专职：□ </w:t>
            </w:r>
          </w:p>
          <w:p w14:paraId="10EEED6C">
            <w:pPr>
              <w:spacing w:line="276" w:lineRule="auto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可兼任：</w:t>
            </w:r>
            <w:r>
              <w:rPr>
                <w:rFonts w:ascii="Segoe UI Emoji" w:hAnsi="Segoe UI Emoji" w:eastAsia="宋体" w:cs="Segoe UI Emoji"/>
                <w:color w:val="000000"/>
                <w:sz w:val="18"/>
                <w:szCs w:val="18"/>
              </w:rPr>
              <w:t>☑</w:t>
            </w:r>
          </w:p>
        </w:tc>
      </w:tr>
      <w:tr w14:paraId="0FF80A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4" w:hRule="atLeast"/>
          <w:jc w:val="center"/>
        </w:trPr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8E4EF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...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8D2B7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C7142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9FE39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EA05F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ABCC0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2E4CA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A14C1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ED6A89">
            <w:pPr>
              <w:spacing w:line="276" w:lineRule="auto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 xml:space="preserve">专职：□ </w:t>
            </w:r>
          </w:p>
          <w:p w14:paraId="5A35EB86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可兼任：</w:t>
            </w:r>
            <w:r>
              <w:rPr>
                <w:rFonts w:ascii="Segoe UI Emoji" w:hAnsi="Segoe UI Emoji" w:eastAsia="宋体" w:cs="Segoe UI Emoji"/>
                <w:color w:val="000000"/>
                <w:sz w:val="18"/>
                <w:szCs w:val="18"/>
              </w:rPr>
              <w:t>☑</w:t>
            </w:r>
          </w:p>
        </w:tc>
      </w:tr>
      <w:tr w14:paraId="58626B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4" w:hRule="atLeast"/>
          <w:jc w:val="center"/>
        </w:trPr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443C3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...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DD29C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5AF7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0B697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4CF8A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F4088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3CB38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3610E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7BB668">
            <w:pPr>
              <w:spacing w:line="276" w:lineRule="auto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 xml:space="preserve">专职：□ </w:t>
            </w:r>
          </w:p>
          <w:p w14:paraId="7D095FB1">
            <w:pPr>
              <w:autoSpaceDE w:val="0"/>
              <w:autoSpaceDN w:val="0"/>
              <w:adjustRightInd w:val="0"/>
              <w:spacing w:line="276" w:lineRule="auto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可兼任：</w:t>
            </w:r>
            <w:r>
              <w:rPr>
                <w:rFonts w:ascii="Segoe UI Emoji" w:hAnsi="Segoe UI Emoji" w:eastAsia="宋体" w:cs="Segoe UI Emoji"/>
                <w:color w:val="000000"/>
                <w:sz w:val="18"/>
                <w:szCs w:val="18"/>
              </w:rPr>
              <w:t>☑</w:t>
            </w:r>
          </w:p>
        </w:tc>
      </w:tr>
    </w:tbl>
    <w:p w14:paraId="04DC9F53">
      <w:pPr>
        <w:spacing w:line="276" w:lineRule="auto"/>
        <w:rPr>
          <w:rFonts w:ascii="宋体" w:hAnsi="宋体" w:eastAsia="宋体" w:cs="宋体"/>
          <w:color w:val="000000"/>
          <w:sz w:val="18"/>
          <w:szCs w:val="18"/>
        </w:rPr>
      </w:pPr>
      <w:r>
        <w:rPr>
          <w:rFonts w:hint="eastAsia" w:ascii="宋体" w:hAnsi="宋体" w:eastAsia="宋体" w:cs="宋体"/>
          <w:color w:val="000000"/>
          <w:sz w:val="18"/>
          <w:szCs w:val="18"/>
        </w:rPr>
        <w:t>注：人员证书无需重复提供，后附相关的管理制度及方案。其他专业人员，投标人可根据项目需求进行配置，并提供相关身份证、岗位证书、社保证明等附后。</w:t>
      </w:r>
    </w:p>
    <w:p w14:paraId="12D8C6AD">
      <w:pPr>
        <w:pStyle w:val="8"/>
        <w:numPr>
          <w:ilvl w:val="0"/>
          <w:numId w:val="1"/>
        </w:numPr>
        <w:spacing w:line="276" w:lineRule="auto"/>
        <w:ind w:firstLineChars="0"/>
        <w:rPr>
          <w:rFonts w:ascii="宋体" w:hAnsi="宋体" w:eastAsia="宋体"/>
          <w:b/>
        </w:rPr>
      </w:pPr>
      <w:r>
        <w:rPr>
          <w:rFonts w:hint="eastAsia" w:ascii="宋体" w:hAnsi="宋体" w:eastAsia="宋体"/>
          <w:b/>
        </w:rPr>
        <w:t>工程/服务过程质量控制要求</w:t>
      </w:r>
    </w:p>
    <w:p w14:paraId="6889CC43">
      <w:pPr>
        <w:pStyle w:val="8"/>
        <w:numPr>
          <w:ilvl w:val="1"/>
          <w:numId w:val="2"/>
        </w:numPr>
        <w:spacing w:line="276" w:lineRule="auto"/>
        <w:ind w:firstLineChars="0"/>
        <w:outlineLvl w:val="1"/>
        <w:rPr>
          <w:rFonts w:ascii="宋体" w:hAnsi="宋体" w:eastAsia="宋体"/>
          <w:sz w:val="18"/>
          <w:szCs w:val="18"/>
        </w:rPr>
      </w:pPr>
      <w:bookmarkStart w:id="13" w:name="_Toc23849"/>
      <w:r>
        <w:rPr>
          <w:rFonts w:hint="eastAsia" w:ascii="宋体" w:hAnsi="宋体" w:eastAsia="宋体"/>
          <w:sz w:val="18"/>
          <w:szCs w:val="18"/>
        </w:rPr>
        <w:t>质量目标</w:t>
      </w:r>
      <w:bookmarkEnd w:id="13"/>
    </w:p>
    <w:p w14:paraId="45AA564E">
      <w:pPr>
        <w:pStyle w:val="8"/>
        <w:numPr>
          <w:ilvl w:val="1"/>
          <w:numId w:val="3"/>
        </w:numPr>
        <w:spacing w:line="276" w:lineRule="auto"/>
        <w:ind w:firstLineChars="0"/>
        <w:outlineLvl w:val="1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工程质量符合设计要求及现行规程规范</w:t>
      </w:r>
      <w:r>
        <w:rPr>
          <w:rFonts w:hint="eastAsia" w:ascii="宋体" w:hAnsi="宋体" w:eastAsia="宋体"/>
          <w:bCs/>
          <w:sz w:val="18"/>
          <w:szCs w:val="18"/>
        </w:rPr>
        <w:t>（包括但不限于“2 技术标准&amp;规范”）</w:t>
      </w:r>
      <w:r>
        <w:rPr>
          <w:rFonts w:hint="eastAsia" w:ascii="宋体" w:hAnsi="宋体" w:eastAsia="宋体"/>
          <w:sz w:val="18"/>
          <w:szCs w:val="18"/>
        </w:rPr>
        <w:t>，</w:t>
      </w:r>
      <w:r>
        <w:rPr>
          <w:rFonts w:hint="eastAsia" w:ascii="宋体" w:hAnsi="宋体" w:eastAsia="宋体"/>
          <w:b/>
          <w:bCs/>
          <w:sz w:val="18"/>
          <w:szCs w:val="18"/>
        </w:rPr>
        <w:t>一次验收合格</w:t>
      </w:r>
      <w:r>
        <w:rPr>
          <w:rFonts w:hint="eastAsia" w:ascii="宋体" w:hAnsi="宋体" w:eastAsia="宋体"/>
          <w:sz w:val="18"/>
          <w:szCs w:val="18"/>
        </w:rPr>
        <w:t>，</w:t>
      </w:r>
      <w:r>
        <w:rPr>
          <w:rFonts w:hint="eastAsia" w:ascii="宋体" w:hAnsi="宋体" w:eastAsia="宋体"/>
          <w:b/>
          <w:bCs/>
          <w:sz w:val="18"/>
          <w:szCs w:val="18"/>
        </w:rPr>
        <w:t>杜绝质量事故，确保设备运行稳定可靠，</w:t>
      </w:r>
      <w:r>
        <w:rPr>
          <w:rFonts w:hint="eastAsia" w:ascii="宋体" w:hAnsi="宋体" w:eastAsia="宋体"/>
          <w:sz w:val="18"/>
          <w:szCs w:val="18"/>
        </w:rPr>
        <w:t>并做出质量承诺及保证措施。</w:t>
      </w:r>
    </w:p>
    <w:p w14:paraId="593ED564">
      <w:pPr>
        <w:pStyle w:val="8"/>
        <w:numPr>
          <w:ilvl w:val="1"/>
          <w:numId w:val="2"/>
        </w:numPr>
        <w:spacing w:line="276" w:lineRule="auto"/>
        <w:ind w:firstLineChars="0"/>
        <w:outlineLvl w:val="1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材料及设备参数要求</w:t>
      </w:r>
    </w:p>
    <w:p w14:paraId="2DDD86C4">
      <w:pPr>
        <w:pStyle w:val="8"/>
        <w:spacing w:line="276" w:lineRule="auto"/>
        <w:ind w:left="850" w:firstLine="0" w:firstLineChars="0"/>
        <w:outlineLvl w:val="1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所有进场材料、设备需提供出厂合格证、产品质检报告、检验报告、检测报告、</w:t>
      </w:r>
      <w:r>
        <w:rPr>
          <w:rFonts w:ascii="宋体" w:hAnsi="宋体" w:eastAsia="宋体"/>
          <w:sz w:val="18"/>
          <w:szCs w:val="18"/>
        </w:rPr>
        <w:t>3C认证（如需）等资料，</w:t>
      </w:r>
      <w:r>
        <w:rPr>
          <w:rFonts w:hint="eastAsia" w:ascii="宋体" w:hAnsi="宋体" w:eastAsia="宋体"/>
          <w:sz w:val="18"/>
          <w:szCs w:val="18"/>
        </w:rPr>
        <w:t>符合环保要求的</w:t>
      </w:r>
      <w:r>
        <w:rPr>
          <w:rFonts w:ascii="宋体" w:hAnsi="宋体" w:eastAsia="宋体"/>
          <w:sz w:val="18"/>
          <w:szCs w:val="18"/>
        </w:rPr>
        <w:t>VOC成分说明（应无异味，无甲醛，无苯、无甲苯及苯类化合物）</w:t>
      </w:r>
      <w:r>
        <w:rPr>
          <w:rFonts w:hint="eastAsia" w:ascii="宋体" w:hAnsi="宋体" w:eastAsia="宋体"/>
          <w:sz w:val="18"/>
          <w:szCs w:val="18"/>
        </w:rPr>
        <w:t>。</w:t>
      </w:r>
      <w:r>
        <w:rPr>
          <w:rFonts w:ascii="宋体" w:hAnsi="宋体" w:eastAsia="宋体"/>
          <w:sz w:val="18"/>
          <w:szCs w:val="18"/>
        </w:rPr>
        <w:t>外观无损伤、变形，型号、规格符合设计要求。照明、消防设备需进行通电试运行，确保性能合格，验收标准符合对应设备及材料的国家标准和行业标准。</w:t>
      </w:r>
    </w:p>
    <w:p w14:paraId="5C8D9156">
      <w:pPr>
        <w:pStyle w:val="8"/>
        <w:numPr>
          <w:ilvl w:val="1"/>
          <w:numId w:val="2"/>
        </w:numPr>
        <w:spacing w:line="276" w:lineRule="auto"/>
        <w:ind w:firstLineChars="0"/>
        <w:outlineLvl w:val="1"/>
        <w:rPr>
          <w:rFonts w:ascii="宋体" w:hAnsi="宋体" w:eastAsia="宋体"/>
          <w:sz w:val="18"/>
          <w:szCs w:val="18"/>
        </w:rPr>
      </w:pPr>
      <w:r>
        <w:rPr>
          <w:rFonts w:ascii="宋体" w:hAnsi="宋体" w:eastAsia="宋体"/>
          <w:sz w:val="18"/>
          <w:szCs w:val="18"/>
        </w:rPr>
        <w:t>地面施工</w:t>
      </w:r>
      <w:r>
        <w:rPr>
          <w:rFonts w:hint="eastAsia" w:ascii="宋体" w:hAnsi="宋体" w:eastAsia="宋体"/>
          <w:sz w:val="18"/>
          <w:szCs w:val="18"/>
        </w:rPr>
        <w:t>技术</w:t>
      </w:r>
      <w:r>
        <w:rPr>
          <w:rFonts w:ascii="宋体" w:hAnsi="宋体" w:eastAsia="宋体"/>
          <w:sz w:val="18"/>
          <w:szCs w:val="18"/>
        </w:rPr>
        <w:t>要求</w:t>
      </w:r>
    </w:p>
    <w:p w14:paraId="6E444AF7">
      <w:pPr>
        <w:pStyle w:val="8"/>
        <w:numPr>
          <w:ilvl w:val="2"/>
          <w:numId w:val="2"/>
        </w:numPr>
        <w:spacing w:line="276" w:lineRule="auto"/>
        <w:ind w:firstLineChars="0"/>
        <w:outlineLvl w:val="1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完成要求</w:t>
      </w:r>
    </w:p>
    <w:p w14:paraId="416ADEEB">
      <w:pPr>
        <w:pStyle w:val="8"/>
        <w:spacing w:line="276" w:lineRule="auto"/>
        <w:ind w:left="850" w:firstLine="360"/>
        <w:outlineLvl w:val="1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（1）</w:t>
      </w:r>
      <w:r>
        <w:rPr>
          <w:rFonts w:ascii="宋体" w:hAnsi="宋体" w:eastAsia="宋体"/>
          <w:sz w:val="18"/>
          <w:szCs w:val="18"/>
        </w:rPr>
        <w:t>基面状态：完工后平整度≤2m±3mm（激光水平仪检测）；无油污、浮浆、松散层，表面耐磨达标；材料需提供粘结强度检测报告（≥2.5MPa）；</w:t>
      </w:r>
    </w:p>
    <w:p w14:paraId="343FC873">
      <w:pPr>
        <w:pStyle w:val="8"/>
        <w:spacing w:line="276" w:lineRule="auto"/>
        <w:ind w:left="850" w:firstLine="360"/>
        <w:outlineLvl w:val="1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（2）</w:t>
      </w:r>
      <w:r>
        <w:rPr>
          <w:rFonts w:ascii="宋体" w:hAnsi="宋体" w:eastAsia="宋体"/>
          <w:sz w:val="18"/>
          <w:szCs w:val="18"/>
        </w:rPr>
        <w:t>裂缝处理：裂缝宽度≤0.3mm时采用环氧树脂灌浆填充；裂缝宽度＞0.3mm时采用改性聚氨酯砂浆加固，填充后表面平整无凹陷；</w:t>
      </w:r>
    </w:p>
    <w:p w14:paraId="3CAD469D">
      <w:pPr>
        <w:pStyle w:val="8"/>
        <w:spacing w:line="276" w:lineRule="auto"/>
        <w:ind w:left="850" w:firstLine="360"/>
        <w:outlineLvl w:val="1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（3）</w:t>
      </w:r>
      <w:r>
        <w:rPr>
          <w:rFonts w:ascii="宋体" w:hAnsi="宋体" w:eastAsia="宋体"/>
          <w:sz w:val="18"/>
          <w:szCs w:val="18"/>
        </w:rPr>
        <w:t>坑凹处及缺陷处理（包含深度≤5mm、深度5mm</w:t>
      </w:r>
      <w:r>
        <w:rPr>
          <w:rFonts w:hint="eastAsia" w:ascii="宋体" w:hAnsi="宋体" w:eastAsia="宋体"/>
          <w:sz w:val="18"/>
          <w:szCs w:val="18"/>
          <w:lang w:eastAsia="zh-CN"/>
        </w:rPr>
        <w:t>～</w:t>
      </w:r>
      <w:r>
        <w:rPr>
          <w:rFonts w:ascii="宋体" w:hAnsi="宋体" w:eastAsia="宋体"/>
          <w:sz w:val="18"/>
          <w:szCs w:val="18"/>
        </w:rPr>
        <w:t>20mm、深度＞20mm等）：应采用分层填充方式进行，修补后平整度≤2m±3mm，与周边地面过渡平顺，无高低不平；深度较深时优先使用环氧树脂界面剂及抗收缩砂浆（提供材料抗压、抗收缩检测报告）；</w:t>
      </w:r>
      <w:r>
        <w:rPr>
          <w:rFonts w:hint="eastAsia" w:ascii="宋体" w:hAnsi="宋体" w:eastAsia="宋体"/>
          <w:sz w:val="18"/>
          <w:szCs w:val="18"/>
        </w:rPr>
        <w:t>修补区域需单独标注并提交修补工艺记录（含分层厚度、固化时间、检测数据）；</w:t>
      </w:r>
    </w:p>
    <w:p w14:paraId="53722C00">
      <w:pPr>
        <w:pStyle w:val="8"/>
        <w:spacing w:line="276" w:lineRule="auto"/>
        <w:ind w:left="850" w:firstLine="360"/>
        <w:outlineLvl w:val="1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（4）</w:t>
      </w:r>
      <w:r>
        <w:rPr>
          <w:rFonts w:ascii="宋体" w:hAnsi="宋体" w:eastAsia="宋体"/>
          <w:sz w:val="18"/>
          <w:szCs w:val="18"/>
        </w:rPr>
        <w:t xml:space="preserve"> 施工层厚度要求：</w:t>
      </w:r>
      <w:r>
        <w:rPr>
          <w:rFonts w:hint="eastAsia" w:ascii="宋体" w:hAnsi="宋体" w:eastAsia="宋体"/>
          <w:sz w:val="18"/>
          <w:szCs w:val="18"/>
        </w:rPr>
        <w:t>底涂施工：刮涂厚度≥</w:t>
      </w:r>
      <w:r>
        <w:rPr>
          <w:rFonts w:ascii="宋体" w:hAnsi="宋体" w:eastAsia="宋体"/>
          <w:sz w:val="18"/>
          <w:szCs w:val="18"/>
        </w:rPr>
        <w:t>1mm，确保基面完全密封。</w:t>
      </w:r>
      <w:r>
        <w:rPr>
          <w:rFonts w:hint="eastAsia" w:ascii="宋体" w:hAnsi="宋体" w:eastAsia="宋体"/>
          <w:sz w:val="18"/>
          <w:szCs w:val="18"/>
        </w:rPr>
        <w:t>成品厚度：最终成品地坪最低厚度≥</w:t>
      </w:r>
      <w:r>
        <w:rPr>
          <w:rFonts w:ascii="宋体" w:hAnsi="宋体" w:eastAsia="宋体"/>
          <w:sz w:val="18"/>
          <w:szCs w:val="18"/>
        </w:rPr>
        <w:t>5mm</w:t>
      </w:r>
      <w:r>
        <w:rPr>
          <w:rFonts w:hint="eastAsia" w:ascii="宋体" w:hAnsi="宋体" w:eastAsia="宋体"/>
          <w:sz w:val="18"/>
          <w:szCs w:val="18"/>
        </w:rPr>
        <w:t>；</w:t>
      </w:r>
    </w:p>
    <w:p w14:paraId="5B30D50D">
      <w:pPr>
        <w:pStyle w:val="8"/>
        <w:spacing w:line="276" w:lineRule="auto"/>
        <w:ind w:left="850" w:firstLine="360"/>
        <w:outlineLvl w:val="1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（5）</w:t>
      </w:r>
      <w:r>
        <w:rPr>
          <w:rFonts w:ascii="宋体" w:hAnsi="宋体" w:eastAsia="宋体"/>
          <w:sz w:val="18"/>
          <w:szCs w:val="18"/>
        </w:rPr>
        <w:t>抗冲击性能要求</w:t>
      </w:r>
      <w:r>
        <w:rPr>
          <w:rFonts w:hint="eastAsia" w:ascii="宋体" w:hAnsi="宋体" w:eastAsia="宋体"/>
          <w:sz w:val="18"/>
          <w:szCs w:val="18"/>
        </w:rPr>
        <w:t>：落球冲击测试（</w:t>
      </w:r>
      <w:r>
        <w:rPr>
          <w:rFonts w:ascii="宋体" w:hAnsi="宋体" w:eastAsia="宋体"/>
          <w:sz w:val="18"/>
          <w:szCs w:val="18"/>
        </w:rPr>
        <w:t>1kg钢球自1m高度自由落体冲击地面），无开裂、剥落；</w:t>
      </w:r>
    </w:p>
    <w:p w14:paraId="2E218427">
      <w:pPr>
        <w:pStyle w:val="8"/>
        <w:spacing w:line="276" w:lineRule="auto"/>
        <w:ind w:left="850" w:firstLine="360"/>
        <w:outlineLvl w:val="1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（6）防撞性能要求：叉车（载重</w:t>
      </w:r>
      <w:r>
        <w:rPr>
          <w:rFonts w:ascii="宋体" w:hAnsi="宋体" w:eastAsia="宋体"/>
          <w:sz w:val="18"/>
          <w:szCs w:val="18"/>
        </w:rPr>
        <w:t>5吨（含货物））碾压后地面无变形、开裂；地坪表面硬度≥3H（铅笔硬度测试）</w:t>
      </w:r>
      <w:r>
        <w:rPr>
          <w:rFonts w:hint="eastAsia" w:ascii="宋体" w:hAnsi="宋体" w:eastAsia="宋体"/>
          <w:sz w:val="18"/>
          <w:szCs w:val="18"/>
        </w:rPr>
        <w:t>；</w:t>
      </w:r>
    </w:p>
    <w:p w14:paraId="4E9ECAE8">
      <w:pPr>
        <w:pStyle w:val="8"/>
        <w:spacing w:line="276" w:lineRule="auto"/>
        <w:ind w:left="850" w:firstLine="360"/>
        <w:outlineLvl w:val="1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（7）施工中乙方需实时监测厚度和平整度，每</w:t>
      </w:r>
      <w:r>
        <w:rPr>
          <w:rFonts w:ascii="宋体" w:hAnsi="宋体" w:eastAsia="宋体"/>
          <w:sz w:val="18"/>
          <w:szCs w:val="18"/>
        </w:rPr>
        <w:t>50m²设置一个检测点并记录数据；裂缝及缺陷处理完成后需经甲方验收方可进入下</w:t>
      </w:r>
      <w:r>
        <w:rPr>
          <w:rFonts w:hint="eastAsia" w:ascii="宋体" w:hAnsi="宋体" w:eastAsia="宋体"/>
          <w:sz w:val="18"/>
          <w:szCs w:val="18"/>
          <w:lang w:eastAsia="zh-CN"/>
        </w:rPr>
        <w:t>一道</w:t>
      </w:r>
      <w:r>
        <w:rPr>
          <w:rFonts w:ascii="宋体" w:hAnsi="宋体" w:eastAsia="宋体"/>
          <w:sz w:val="18"/>
          <w:szCs w:val="18"/>
        </w:rPr>
        <w:t>工序，未达到标准的部分应返工至满足规范要求为止</w:t>
      </w:r>
      <w:r>
        <w:rPr>
          <w:rFonts w:hint="eastAsia" w:ascii="宋体" w:hAnsi="宋体" w:eastAsia="宋体"/>
          <w:sz w:val="18"/>
          <w:szCs w:val="18"/>
        </w:rPr>
        <w:t>。</w:t>
      </w:r>
    </w:p>
    <w:p w14:paraId="3FCC9DE7">
      <w:pPr>
        <w:pStyle w:val="8"/>
        <w:numPr>
          <w:ilvl w:val="2"/>
          <w:numId w:val="2"/>
        </w:numPr>
        <w:spacing w:line="276" w:lineRule="auto"/>
        <w:ind w:firstLineChars="0"/>
        <w:outlineLvl w:val="1"/>
        <w:rPr>
          <w:rFonts w:ascii="宋体" w:hAnsi="宋体" w:eastAsia="宋体"/>
          <w:sz w:val="18"/>
          <w:szCs w:val="18"/>
        </w:rPr>
      </w:pPr>
      <w:r>
        <w:rPr>
          <w:rFonts w:ascii="宋体" w:hAnsi="宋体" w:eastAsia="宋体"/>
          <w:sz w:val="18"/>
          <w:szCs w:val="18"/>
        </w:rPr>
        <w:t>环保要求</w:t>
      </w:r>
    </w:p>
    <w:p w14:paraId="7E72DD04">
      <w:pPr>
        <w:pStyle w:val="8"/>
        <w:spacing w:line="276" w:lineRule="auto"/>
        <w:ind w:left="850" w:firstLine="360"/>
        <w:outlineLvl w:val="1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地面完成后需符合以下环保标准，确保对人体和环境无害：</w:t>
      </w:r>
    </w:p>
    <w:p w14:paraId="23CF8DE7">
      <w:pPr>
        <w:pStyle w:val="8"/>
        <w:spacing w:line="276" w:lineRule="auto"/>
        <w:ind w:left="850" w:firstLine="360"/>
        <w:outlineLvl w:val="1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（1）</w:t>
      </w:r>
      <w:r>
        <w:rPr>
          <w:rFonts w:ascii="宋体" w:hAnsi="宋体" w:eastAsia="宋体"/>
          <w:sz w:val="18"/>
          <w:szCs w:val="18"/>
        </w:rPr>
        <w:t>挥发性有机物（VOC）</w:t>
      </w:r>
      <w:r>
        <w:rPr>
          <w:rFonts w:hint="eastAsia" w:ascii="宋体" w:hAnsi="宋体" w:eastAsia="宋体"/>
          <w:sz w:val="18"/>
          <w:szCs w:val="18"/>
        </w:rPr>
        <w:t>符合国家标准</w:t>
      </w:r>
      <w:r>
        <w:rPr>
          <w:rFonts w:ascii="宋体" w:hAnsi="宋体" w:eastAsia="宋体"/>
          <w:sz w:val="18"/>
          <w:szCs w:val="18"/>
        </w:rPr>
        <w:t xml:space="preserve"> GB 18583-2008（室内装饰材料胶粘剂有害物质限量）及国际标准，VOC含量 ≤30 g/L，无苯、甲苯、苯类检出物。</w:t>
      </w:r>
    </w:p>
    <w:p w14:paraId="2BBDD0B2">
      <w:pPr>
        <w:pStyle w:val="8"/>
        <w:spacing w:line="276" w:lineRule="auto"/>
        <w:ind w:left="850" w:firstLine="360"/>
        <w:outlineLvl w:val="1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（2）</w:t>
      </w:r>
      <w:r>
        <w:rPr>
          <w:rFonts w:ascii="宋体" w:hAnsi="宋体" w:eastAsia="宋体"/>
          <w:sz w:val="18"/>
          <w:szCs w:val="18"/>
        </w:rPr>
        <w:t xml:space="preserve"> 重金属含量</w:t>
      </w:r>
      <w:r>
        <w:rPr>
          <w:rFonts w:hint="eastAsia" w:ascii="宋体" w:hAnsi="宋体" w:eastAsia="宋体"/>
          <w:sz w:val="18"/>
          <w:szCs w:val="18"/>
        </w:rPr>
        <w:t>：铅（</w:t>
      </w:r>
      <w:r>
        <w:rPr>
          <w:rFonts w:ascii="宋体" w:hAnsi="宋体" w:eastAsia="宋体"/>
          <w:sz w:val="18"/>
          <w:szCs w:val="18"/>
        </w:rPr>
        <w:t>Pb）、镉（Cd）、铬（Cr）、汞（Hg）等重金属符合 GB 18582-2020（建筑用墙面涂料）或 EN 71-3（欧盟玩具安全标准）限值。</w:t>
      </w:r>
    </w:p>
    <w:p w14:paraId="16375A1E">
      <w:pPr>
        <w:pStyle w:val="8"/>
        <w:numPr>
          <w:ilvl w:val="1"/>
          <w:numId w:val="2"/>
        </w:numPr>
        <w:spacing w:line="276" w:lineRule="auto"/>
        <w:ind w:firstLineChars="0"/>
        <w:outlineLvl w:val="1"/>
        <w:rPr>
          <w:rFonts w:ascii="宋体" w:hAnsi="宋体" w:eastAsia="宋体"/>
          <w:sz w:val="18"/>
          <w:szCs w:val="18"/>
        </w:rPr>
      </w:pPr>
      <w:r>
        <w:rPr>
          <w:rFonts w:ascii="宋体" w:hAnsi="宋体" w:eastAsia="宋体"/>
          <w:sz w:val="18"/>
          <w:szCs w:val="18"/>
        </w:rPr>
        <w:t>土建及辅助工程施工技术要求</w:t>
      </w:r>
    </w:p>
    <w:p w14:paraId="5DF91566">
      <w:pPr>
        <w:pStyle w:val="8"/>
        <w:numPr>
          <w:ilvl w:val="2"/>
          <w:numId w:val="2"/>
        </w:numPr>
        <w:spacing w:line="276" w:lineRule="auto"/>
        <w:ind w:firstLineChars="0"/>
        <w:outlineLvl w:val="1"/>
        <w:rPr>
          <w:rFonts w:ascii="宋体" w:hAnsi="宋体" w:eastAsia="宋体"/>
          <w:sz w:val="18"/>
          <w:szCs w:val="18"/>
        </w:rPr>
      </w:pPr>
      <w:r>
        <w:rPr>
          <w:rFonts w:ascii="宋体" w:hAnsi="宋体" w:eastAsia="宋体"/>
          <w:sz w:val="18"/>
          <w:szCs w:val="18"/>
        </w:rPr>
        <w:t>内墙体粉刷：</w:t>
      </w:r>
    </w:p>
    <w:p w14:paraId="0C9C0415">
      <w:pPr>
        <w:spacing w:line="276" w:lineRule="auto"/>
        <w:ind w:left="851" w:firstLine="360" w:firstLineChars="200"/>
        <w:outlineLvl w:val="1"/>
        <w:rPr>
          <w:rFonts w:ascii="宋体" w:hAnsi="宋体" w:eastAsia="宋体"/>
          <w:sz w:val="18"/>
          <w:szCs w:val="18"/>
        </w:rPr>
      </w:pPr>
      <w:r>
        <w:rPr>
          <w:rFonts w:ascii="宋体" w:hAnsi="宋体" w:eastAsia="宋体"/>
          <w:sz w:val="18"/>
          <w:szCs w:val="18"/>
        </w:rPr>
        <w:t>先打磨修补平整再刷白（两遍），采用环保、耐擦洗涂料，墙面平整、无脱落，</w:t>
      </w:r>
      <w:r>
        <w:rPr>
          <w:rFonts w:hint="eastAsia" w:ascii="宋体" w:hAnsi="宋体" w:eastAsia="宋体"/>
          <w:sz w:val="18"/>
          <w:szCs w:val="18"/>
        </w:rPr>
        <w:t>踢脚线黑色，</w:t>
      </w:r>
      <w:r>
        <w:rPr>
          <w:rFonts w:ascii="宋体" w:hAnsi="宋体" w:eastAsia="宋体"/>
          <w:sz w:val="18"/>
          <w:szCs w:val="18"/>
        </w:rPr>
        <w:t>符合GB 50210-2018标准。</w:t>
      </w:r>
      <w:r>
        <w:rPr>
          <w:rFonts w:hint="eastAsia" w:ascii="宋体" w:hAnsi="宋体" w:eastAsia="宋体"/>
          <w:sz w:val="18"/>
          <w:szCs w:val="18"/>
        </w:rPr>
        <w:t>具体要求参见</w:t>
      </w:r>
      <w:r>
        <w:rPr>
          <w:rFonts w:hint="eastAsia" w:ascii="宋体" w:hAnsi="宋体" w:eastAsia="宋体"/>
          <w:b/>
          <w:sz w:val="18"/>
          <w:szCs w:val="18"/>
        </w:rPr>
        <w:t>附件三</w:t>
      </w:r>
      <w:r>
        <w:rPr>
          <w:rFonts w:hint="eastAsia" w:ascii="宋体" w:hAnsi="宋体" w:eastAsia="宋体"/>
          <w:sz w:val="18"/>
          <w:szCs w:val="18"/>
        </w:rPr>
        <w:t>。</w:t>
      </w:r>
    </w:p>
    <w:p w14:paraId="7AD1E58D">
      <w:pPr>
        <w:pStyle w:val="8"/>
        <w:numPr>
          <w:ilvl w:val="2"/>
          <w:numId w:val="2"/>
        </w:numPr>
        <w:spacing w:line="276" w:lineRule="auto"/>
        <w:ind w:firstLineChars="0"/>
        <w:outlineLvl w:val="1"/>
        <w:rPr>
          <w:rFonts w:ascii="宋体" w:hAnsi="宋体" w:eastAsia="宋体"/>
          <w:sz w:val="18"/>
          <w:szCs w:val="18"/>
        </w:rPr>
      </w:pPr>
      <w:r>
        <w:rPr>
          <w:rFonts w:ascii="宋体" w:hAnsi="宋体" w:eastAsia="宋体"/>
          <w:sz w:val="18"/>
          <w:szCs w:val="18"/>
        </w:rPr>
        <w:t>门窗安装：</w:t>
      </w:r>
    </w:p>
    <w:p w14:paraId="0489E4D1">
      <w:pPr>
        <w:spacing w:line="276" w:lineRule="auto"/>
        <w:ind w:left="851" w:firstLine="360" w:firstLineChars="200"/>
        <w:outlineLvl w:val="1"/>
        <w:rPr>
          <w:rFonts w:ascii="宋体" w:hAnsi="宋体" w:eastAsia="宋体"/>
          <w:sz w:val="18"/>
          <w:szCs w:val="18"/>
        </w:rPr>
      </w:pPr>
      <w:r>
        <w:rPr>
          <w:rFonts w:ascii="宋体" w:hAnsi="宋体" w:eastAsia="宋体"/>
          <w:sz w:val="18"/>
          <w:szCs w:val="18"/>
        </w:rPr>
        <w:t>防火门、窗安装牢固，密封严密，开启灵活，防火密封条完好，五金配件齐全；门框与墙体间隙采用防火材料填充，符合GB 50016-2025标准。</w:t>
      </w:r>
      <w:r>
        <w:rPr>
          <w:rFonts w:hint="eastAsia" w:ascii="宋体" w:hAnsi="宋体" w:eastAsia="宋体"/>
          <w:sz w:val="18"/>
          <w:szCs w:val="18"/>
        </w:rPr>
        <w:t>防火门</w:t>
      </w:r>
      <w:r>
        <w:rPr>
          <w:rFonts w:ascii="宋体" w:hAnsi="宋体" w:eastAsia="宋体"/>
          <w:sz w:val="18"/>
          <w:szCs w:val="18"/>
        </w:rPr>
        <w:t>/窗具备防火、隔热、隔音性能，密封严密</w:t>
      </w:r>
      <w:r>
        <w:rPr>
          <w:rFonts w:hint="eastAsia" w:ascii="宋体" w:hAnsi="宋体" w:eastAsia="宋体"/>
          <w:sz w:val="18"/>
          <w:szCs w:val="18"/>
        </w:rPr>
        <w:t>，</w:t>
      </w:r>
      <w:r>
        <w:rPr>
          <w:rFonts w:ascii="宋体" w:hAnsi="宋体" w:eastAsia="宋体"/>
          <w:sz w:val="18"/>
          <w:szCs w:val="18"/>
        </w:rPr>
        <w:t>铝合金窗防腐处理，固定牢固</w:t>
      </w:r>
      <w:r>
        <w:rPr>
          <w:rFonts w:hint="eastAsia" w:ascii="宋体" w:hAnsi="宋体" w:eastAsia="宋体"/>
          <w:sz w:val="18"/>
          <w:szCs w:val="18"/>
        </w:rPr>
        <w:t>，</w:t>
      </w:r>
      <w:r>
        <w:rPr>
          <w:rFonts w:ascii="宋体" w:hAnsi="宋体" w:eastAsia="宋体"/>
          <w:sz w:val="18"/>
          <w:szCs w:val="18"/>
        </w:rPr>
        <w:t>需符合GB 12955-2015标准</w:t>
      </w:r>
      <w:r>
        <w:rPr>
          <w:rFonts w:hint="eastAsia" w:ascii="宋体" w:hAnsi="宋体" w:eastAsia="宋体"/>
          <w:sz w:val="18"/>
          <w:szCs w:val="18"/>
        </w:rPr>
        <w:t>。</w:t>
      </w:r>
    </w:p>
    <w:p w14:paraId="1C774284">
      <w:pPr>
        <w:pStyle w:val="8"/>
        <w:numPr>
          <w:ilvl w:val="2"/>
          <w:numId w:val="2"/>
        </w:numPr>
        <w:spacing w:line="276" w:lineRule="auto"/>
        <w:ind w:firstLineChars="0"/>
        <w:outlineLvl w:val="1"/>
        <w:rPr>
          <w:rFonts w:ascii="宋体" w:hAnsi="宋体" w:eastAsia="宋体"/>
          <w:sz w:val="18"/>
          <w:szCs w:val="18"/>
        </w:rPr>
      </w:pPr>
      <w:r>
        <w:rPr>
          <w:rFonts w:ascii="宋体" w:hAnsi="宋体" w:eastAsia="宋体"/>
          <w:sz w:val="18"/>
          <w:szCs w:val="18"/>
        </w:rPr>
        <w:t>照明及配电施工：</w:t>
      </w:r>
    </w:p>
    <w:p w14:paraId="15BD9CCB">
      <w:pPr>
        <w:pStyle w:val="8"/>
        <w:spacing w:line="276" w:lineRule="auto"/>
        <w:ind w:left="850" w:firstLine="360"/>
        <w:outlineLvl w:val="1"/>
        <w:rPr>
          <w:rFonts w:ascii="宋体" w:hAnsi="宋体" w:eastAsia="宋体"/>
          <w:sz w:val="18"/>
          <w:szCs w:val="18"/>
        </w:rPr>
      </w:pPr>
      <w:r>
        <w:rPr>
          <w:rFonts w:ascii="宋体" w:hAnsi="宋体" w:eastAsia="宋体"/>
          <w:sz w:val="18"/>
          <w:szCs w:val="18"/>
        </w:rPr>
        <w:t>照明灯具、开关、插座安装位置准确，固定牢固，接线规范，应急照明双电源切换可靠；配电箱安装水平、牢固，内部接线整齐，标识清晰，符合GB 50303-2015标准。灯具符合GB 7000.1-2015标准，节能、耐用。所有开关、插座符合GB 16915.1-2014标准，配电箱符合GB 7251.1-2013标准。</w:t>
      </w:r>
    </w:p>
    <w:p w14:paraId="0CAA4222">
      <w:pPr>
        <w:pStyle w:val="8"/>
        <w:numPr>
          <w:ilvl w:val="2"/>
          <w:numId w:val="2"/>
        </w:numPr>
        <w:spacing w:line="276" w:lineRule="auto"/>
        <w:ind w:firstLineChars="0"/>
        <w:outlineLvl w:val="1"/>
        <w:rPr>
          <w:rFonts w:ascii="宋体" w:hAnsi="宋体" w:eastAsia="宋体"/>
          <w:sz w:val="18"/>
          <w:szCs w:val="18"/>
        </w:rPr>
      </w:pPr>
      <w:r>
        <w:rPr>
          <w:rFonts w:ascii="宋体" w:hAnsi="宋体" w:eastAsia="宋体"/>
          <w:sz w:val="18"/>
          <w:szCs w:val="18"/>
        </w:rPr>
        <w:t>封堵及防护施工：</w:t>
      </w:r>
    </w:p>
    <w:p w14:paraId="20F7B299">
      <w:pPr>
        <w:pStyle w:val="8"/>
        <w:spacing w:line="276" w:lineRule="auto"/>
        <w:ind w:left="850" w:firstLine="360"/>
        <w:outlineLvl w:val="1"/>
        <w:rPr>
          <w:rFonts w:ascii="宋体" w:hAnsi="宋体" w:eastAsia="宋体"/>
          <w:sz w:val="18"/>
          <w:szCs w:val="18"/>
        </w:rPr>
      </w:pPr>
      <w:r>
        <w:rPr>
          <w:rFonts w:ascii="宋体" w:hAnsi="宋体" w:eastAsia="宋体"/>
          <w:sz w:val="18"/>
          <w:szCs w:val="18"/>
        </w:rPr>
        <w:t>所有孔洞用高分子封堵材料封堵严密，防火涂料涂刷均匀，厚度符合要求；防小动物挡板安装牢固，高度符合规范，防止小动物进入配电室，符合DL/T 5210.6-2019标准。</w:t>
      </w:r>
    </w:p>
    <w:p w14:paraId="0FF6E9EB">
      <w:pPr>
        <w:pStyle w:val="8"/>
        <w:spacing w:line="276" w:lineRule="auto"/>
        <w:ind w:left="850" w:firstLine="360"/>
        <w:outlineLvl w:val="1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地面、墙面的敲击、打磨等产生较大粉尘的施工需做好对周边设备的隔离及防护工作。</w:t>
      </w:r>
    </w:p>
    <w:p w14:paraId="7530B073">
      <w:pPr>
        <w:pStyle w:val="8"/>
        <w:numPr>
          <w:ilvl w:val="0"/>
          <w:numId w:val="1"/>
        </w:numPr>
        <w:spacing w:line="276" w:lineRule="auto"/>
        <w:ind w:firstLineChars="0"/>
        <w:rPr>
          <w:rFonts w:ascii="宋体" w:hAnsi="宋体" w:eastAsia="宋体"/>
          <w:b/>
        </w:rPr>
      </w:pPr>
      <w:r>
        <w:rPr>
          <w:rFonts w:hint="eastAsia" w:ascii="宋体" w:hAnsi="宋体" w:eastAsia="宋体"/>
          <w:b/>
        </w:rPr>
        <w:t>工期/进度</w:t>
      </w:r>
    </w:p>
    <w:p w14:paraId="35800ED4">
      <w:pPr>
        <w:pStyle w:val="8"/>
        <w:numPr>
          <w:ilvl w:val="1"/>
          <w:numId w:val="2"/>
        </w:numPr>
        <w:spacing w:line="276" w:lineRule="auto"/>
        <w:ind w:firstLineChars="0"/>
        <w:outlineLvl w:val="1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工期要求</w:t>
      </w:r>
    </w:p>
    <w:p w14:paraId="2BDD49E8">
      <w:pPr>
        <w:pStyle w:val="8"/>
        <w:spacing w:line="276" w:lineRule="auto"/>
        <w:ind w:left="850" w:firstLine="0" w:firstLineChars="0"/>
        <w:outlineLvl w:val="1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工作需配合总降开关柜改造项目实施计划</w:t>
      </w:r>
      <w:r>
        <w:rPr>
          <w:rFonts w:ascii="宋体" w:hAnsi="宋体" w:eastAsia="宋体"/>
          <w:sz w:val="18"/>
          <w:szCs w:val="18"/>
        </w:rPr>
        <w:t>4月1</w:t>
      </w:r>
      <w:r>
        <w:rPr>
          <w:rFonts w:hint="eastAsia" w:ascii="宋体" w:hAnsi="宋体" w:eastAsia="宋体"/>
          <w:sz w:val="18"/>
          <w:szCs w:val="18"/>
          <w:lang w:eastAsia="zh-CN"/>
        </w:rPr>
        <w:t>—</w:t>
      </w:r>
      <w:r>
        <w:rPr>
          <w:rFonts w:ascii="宋体" w:hAnsi="宋体" w:eastAsia="宋体"/>
          <w:sz w:val="18"/>
          <w:szCs w:val="18"/>
        </w:rPr>
        <w:t>10日分段停电前工作</w:t>
      </w:r>
      <w:r>
        <w:rPr>
          <w:rFonts w:hint="eastAsia" w:ascii="宋体" w:hAnsi="宋体" w:eastAsia="宋体"/>
          <w:sz w:val="18"/>
          <w:szCs w:val="18"/>
        </w:rPr>
        <w:t>（4月</w:t>
      </w:r>
      <w:r>
        <w:rPr>
          <w:rFonts w:ascii="宋体" w:hAnsi="宋体" w:eastAsia="宋体"/>
          <w:sz w:val="18"/>
          <w:szCs w:val="18"/>
        </w:rPr>
        <w:t>10</w:t>
      </w:r>
      <w:r>
        <w:rPr>
          <w:rFonts w:hint="eastAsia" w:ascii="宋体" w:hAnsi="宋体" w:eastAsia="宋体"/>
          <w:sz w:val="18"/>
          <w:szCs w:val="18"/>
        </w:rPr>
        <w:t>日前完成地面、墙面主体灰尘较大工程），</w:t>
      </w:r>
      <w:r>
        <w:rPr>
          <w:rFonts w:ascii="宋体" w:hAnsi="宋体" w:eastAsia="宋体"/>
          <w:sz w:val="18"/>
          <w:szCs w:val="18"/>
        </w:rPr>
        <w:t>4月11-23日</w:t>
      </w:r>
      <w:r>
        <w:rPr>
          <w:rFonts w:hint="eastAsia" w:ascii="宋体" w:hAnsi="宋体" w:eastAsia="宋体"/>
          <w:sz w:val="18"/>
          <w:szCs w:val="18"/>
        </w:rPr>
        <w:t>间停止施工，4月2</w:t>
      </w:r>
      <w:r>
        <w:rPr>
          <w:rFonts w:ascii="宋体" w:hAnsi="宋体" w:eastAsia="宋体"/>
          <w:sz w:val="18"/>
          <w:szCs w:val="18"/>
        </w:rPr>
        <w:t>4</w:t>
      </w:r>
      <w:r>
        <w:rPr>
          <w:rFonts w:hint="eastAsia" w:ascii="宋体" w:hAnsi="宋体" w:eastAsia="宋体"/>
          <w:sz w:val="18"/>
          <w:szCs w:val="18"/>
          <w:lang w:eastAsia="zh-CN"/>
        </w:rPr>
        <w:t>—</w:t>
      </w:r>
      <w:r>
        <w:rPr>
          <w:rFonts w:ascii="宋体" w:hAnsi="宋体" w:eastAsia="宋体"/>
          <w:sz w:val="18"/>
          <w:szCs w:val="18"/>
        </w:rPr>
        <w:t>30</w:t>
      </w:r>
      <w:r>
        <w:rPr>
          <w:rFonts w:hint="eastAsia" w:ascii="宋体" w:hAnsi="宋体" w:eastAsia="宋体"/>
          <w:sz w:val="18"/>
          <w:szCs w:val="18"/>
        </w:rPr>
        <w:t>日完成剩余所有工作。</w:t>
      </w:r>
    </w:p>
    <w:p w14:paraId="5BA31782">
      <w:pPr>
        <w:pStyle w:val="8"/>
        <w:numPr>
          <w:ilvl w:val="1"/>
          <w:numId w:val="2"/>
        </w:numPr>
        <w:spacing w:line="276" w:lineRule="auto"/>
        <w:ind w:firstLineChars="0"/>
        <w:outlineLvl w:val="1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承包商根据以上总工期，优化施工计划编制详细施工进度计</w:t>
      </w:r>
      <w:r>
        <w:rPr>
          <w:rFonts w:hint="eastAsia" w:ascii="宋体" w:hAnsi="宋体" w:eastAsia="宋体"/>
          <w:sz w:val="18"/>
          <w:szCs w:val="18"/>
          <w:lang w:eastAsia="zh-CN"/>
        </w:rPr>
        <w:t>划和</w:t>
      </w:r>
      <w:r>
        <w:rPr>
          <w:rFonts w:hint="eastAsia" w:ascii="宋体" w:hAnsi="宋体" w:eastAsia="宋体"/>
          <w:sz w:val="18"/>
          <w:szCs w:val="18"/>
        </w:rPr>
        <w:t>具体时间，并做出</w:t>
      </w:r>
      <w:r>
        <w:rPr>
          <w:rFonts w:ascii="宋体" w:hAnsi="宋体" w:eastAsia="宋体"/>
          <w:sz w:val="18"/>
          <w:szCs w:val="18"/>
        </w:rPr>
        <w:t>工期承诺和保证措施</w:t>
      </w:r>
      <w:r>
        <w:rPr>
          <w:rFonts w:hint="eastAsia" w:ascii="宋体" w:hAnsi="宋体" w:eastAsia="宋体"/>
          <w:sz w:val="18"/>
          <w:szCs w:val="18"/>
        </w:rPr>
        <w:t>。</w:t>
      </w:r>
    </w:p>
    <w:p w14:paraId="5B597182">
      <w:pPr>
        <w:pStyle w:val="8"/>
        <w:numPr>
          <w:ilvl w:val="0"/>
          <w:numId w:val="1"/>
        </w:numPr>
        <w:spacing w:line="276" w:lineRule="auto"/>
        <w:ind w:firstLineChars="0"/>
        <w:rPr>
          <w:rFonts w:ascii="宋体" w:hAnsi="宋体" w:eastAsia="宋体"/>
          <w:b/>
        </w:rPr>
      </w:pPr>
      <w:r>
        <w:rPr>
          <w:rFonts w:hint="eastAsia" w:ascii="宋体" w:hAnsi="宋体" w:eastAsia="宋体"/>
          <w:b/>
        </w:rPr>
        <w:t>报价要求</w:t>
      </w:r>
    </w:p>
    <w:p w14:paraId="25D51642">
      <w:pPr>
        <w:spacing w:line="276" w:lineRule="auto"/>
        <w:ind w:firstLine="360" w:firstLineChars="200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乙方按“</w:t>
      </w:r>
      <w:r>
        <w:rPr>
          <w:rFonts w:ascii="宋体" w:hAnsi="宋体" w:eastAsia="宋体"/>
          <w:b/>
          <w:sz w:val="18"/>
          <w:szCs w:val="18"/>
        </w:rPr>
        <w:t>3</w:t>
      </w:r>
      <w:r>
        <w:rPr>
          <w:rFonts w:ascii="宋体" w:hAnsi="宋体" w:eastAsia="宋体"/>
          <w:b/>
          <w:sz w:val="18"/>
          <w:szCs w:val="18"/>
        </w:rPr>
        <w:tab/>
      </w:r>
      <w:r>
        <w:rPr>
          <w:rFonts w:ascii="宋体" w:hAnsi="宋体" w:eastAsia="宋体"/>
          <w:b/>
          <w:sz w:val="18"/>
          <w:szCs w:val="18"/>
        </w:rPr>
        <w:t>工程/服务范围、内容和工程量</w:t>
      </w:r>
      <w:r>
        <w:rPr>
          <w:rFonts w:hint="eastAsia" w:ascii="宋体" w:hAnsi="宋体" w:eastAsia="宋体"/>
          <w:sz w:val="18"/>
          <w:szCs w:val="18"/>
        </w:rPr>
        <w:t>”以综合单价（含税）进行报价，</w:t>
      </w:r>
      <w:r>
        <w:rPr>
          <w:rFonts w:ascii="宋体" w:hAnsi="宋体" w:eastAsia="宋体"/>
          <w:sz w:val="18"/>
          <w:szCs w:val="18"/>
        </w:rPr>
        <w:t>应包含人材机，措施费（含所有安全文明措施），管理费，利润及税金等所有费用；按实际完成工程量结算。</w:t>
      </w:r>
    </w:p>
    <w:p w14:paraId="5D1D3558">
      <w:pPr>
        <w:pStyle w:val="8"/>
        <w:numPr>
          <w:ilvl w:val="0"/>
          <w:numId w:val="1"/>
        </w:numPr>
        <w:spacing w:line="276" w:lineRule="auto"/>
        <w:ind w:firstLineChars="0"/>
        <w:rPr>
          <w:rFonts w:ascii="宋体" w:hAnsi="宋体" w:eastAsia="宋体"/>
          <w:b/>
        </w:rPr>
      </w:pPr>
      <w:r>
        <w:rPr>
          <w:rFonts w:hint="eastAsia" w:ascii="宋体" w:hAnsi="宋体" w:eastAsia="宋体"/>
          <w:b/>
        </w:rPr>
        <w:t>调试/验收/培训</w:t>
      </w:r>
    </w:p>
    <w:p w14:paraId="0ED241AB">
      <w:pPr>
        <w:pStyle w:val="8"/>
        <w:numPr>
          <w:ilvl w:val="1"/>
          <w:numId w:val="2"/>
        </w:numPr>
        <w:spacing w:line="276" w:lineRule="auto"/>
        <w:ind w:firstLineChars="0"/>
        <w:outlineLvl w:val="1"/>
        <w:rPr>
          <w:rFonts w:ascii="宋体" w:hAnsi="宋体" w:eastAsia="宋体"/>
          <w:sz w:val="18"/>
          <w:szCs w:val="18"/>
        </w:rPr>
      </w:pPr>
      <w:r>
        <w:rPr>
          <w:rFonts w:ascii="宋体" w:hAnsi="宋体" w:eastAsia="宋体"/>
          <w:sz w:val="18"/>
          <w:szCs w:val="18"/>
        </w:rPr>
        <w:t>竣工验收准备</w:t>
      </w:r>
    </w:p>
    <w:p w14:paraId="1CF72D20">
      <w:pPr>
        <w:pStyle w:val="8"/>
        <w:spacing w:line="276" w:lineRule="auto"/>
        <w:ind w:left="850" w:firstLine="0" w:firstLineChars="0"/>
        <w:outlineLvl w:val="1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工程完工后，全面清理施工现场，整理施工资料，包括竣工图纸、设计变更、技术交底记录、材料设备合格证及检测报告、试验记录、工序验收记录、安全记录等，确保资料完整、规范、准确，装订成册提交建设方。组织内部自检，对自检发现的问题及时整改，确保工程质量符合验收标准和要求。</w:t>
      </w:r>
    </w:p>
    <w:p w14:paraId="2F292A12">
      <w:pPr>
        <w:pStyle w:val="8"/>
        <w:numPr>
          <w:ilvl w:val="1"/>
          <w:numId w:val="2"/>
        </w:numPr>
        <w:spacing w:line="276" w:lineRule="auto"/>
        <w:ind w:firstLineChars="0"/>
        <w:outlineLvl w:val="1"/>
        <w:rPr>
          <w:rFonts w:ascii="宋体" w:hAnsi="宋体" w:eastAsia="宋体"/>
          <w:sz w:val="18"/>
          <w:szCs w:val="18"/>
        </w:rPr>
      </w:pPr>
      <w:bookmarkStart w:id="14" w:name="_Toc11912"/>
      <w:r>
        <w:rPr>
          <w:rFonts w:hint="eastAsia" w:ascii="宋体" w:hAnsi="宋体" w:eastAsia="宋体"/>
          <w:sz w:val="18"/>
          <w:szCs w:val="18"/>
        </w:rPr>
        <w:t>竣工验收流程</w:t>
      </w:r>
      <w:bookmarkEnd w:id="14"/>
    </w:p>
    <w:p w14:paraId="42CD4A73">
      <w:pPr>
        <w:pStyle w:val="8"/>
        <w:spacing w:line="276" w:lineRule="auto"/>
        <w:ind w:left="850" w:firstLine="0" w:firstLineChars="0"/>
        <w:outlineLvl w:val="1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（1）内部自检合格后，向甲方提交竣工验收申请，</w:t>
      </w:r>
    </w:p>
    <w:p w14:paraId="4C18C3D7">
      <w:pPr>
        <w:pStyle w:val="8"/>
        <w:spacing w:line="276" w:lineRule="auto"/>
        <w:ind w:left="850" w:firstLine="0" w:firstLineChars="0"/>
        <w:outlineLvl w:val="1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（2）组织验收。</w:t>
      </w:r>
      <w:r>
        <w:rPr>
          <w:rFonts w:ascii="宋体" w:hAnsi="宋体" w:eastAsia="宋体"/>
          <w:sz w:val="18"/>
          <w:szCs w:val="18"/>
        </w:rPr>
        <w:t>①资料验收：核查资料完整性、规范性、准确性，确保与工程实体一致；②实体验收：全面检查工程实体质量，包括设备安装、电缆敷设、消防设施</w:t>
      </w:r>
      <w:r>
        <w:rPr>
          <w:rFonts w:hint="eastAsia" w:ascii="宋体" w:hAnsi="宋体" w:eastAsia="宋体"/>
          <w:sz w:val="18"/>
          <w:szCs w:val="18"/>
        </w:rPr>
        <w:t>、地坪/墙面处理</w:t>
      </w:r>
      <w:r>
        <w:rPr>
          <w:rFonts w:ascii="宋体" w:hAnsi="宋体" w:eastAsia="宋体"/>
          <w:sz w:val="18"/>
          <w:szCs w:val="18"/>
        </w:rPr>
        <w:t>、</w:t>
      </w:r>
      <w:r>
        <w:rPr>
          <w:rFonts w:hint="eastAsia" w:ascii="宋体" w:hAnsi="宋体" w:eastAsia="宋体"/>
          <w:sz w:val="18"/>
          <w:szCs w:val="18"/>
        </w:rPr>
        <w:t>屋顶防水等；③功能验收：现场测试消防联动功能、应急照明断电切换试验、潜水泵自动启停等；④安全验收：检查安全警示标识、绝缘防护、防小动物措施等，确保符合安全规范。</w:t>
      </w:r>
    </w:p>
    <w:p w14:paraId="660B57EC">
      <w:pPr>
        <w:pStyle w:val="8"/>
        <w:spacing w:line="276" w:lineRule="auto"/>
        <w:ind w:left="850" w:firstLine="0" w:firstLineChars="0"/>
        <w:outlineLvl w:val="1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（3）</w:t>
      </w:r>
      <w:r>
        <w:rPr>
          <w:rFonts w:ascii="宋体" w:hAnsi="宋体" w:eastAsia="宋体"/>
          <w:sz w:val="18"/>
          <w:szCs w:val="18"/>
        </w:rPr>
        <w:t xml:space="preserve"> 验收整改：对验收中</w:t>
      </w:r>
      <w:r>
        <w:rPr>
          <w:rFonts w:hint="eastAsia" w:ascii="宋体" w:hAnsi="宋体" w:eastAsia="宋体"/>
          <w:sz w:val="18"/>
          <w:szCs w:val="18"/>
        </w:rPr>
        <w:t>提出的问题，制定整改方案，</w:t>
      </w:r>
      <w:r>
        <w:rPr>
          <w:rFonts w:ascii="宋体" w:hAnsi="宋体" w:eastAsia="宋体"/>
          <w:sz w:val="18"/>
          <w:szCs w:val="18"/>
        </w:rPr>
        <w:t>明确整改责任人、整改时限及整改标准，施工单位限期整改，整改完成后</w:t>
      </w:r>
      <w:r>
        <w:rPr>
          <w:rFonts w:hint="eastAsia" w:ascii="宋体" w:hAnsi="宋体" w:eastAsia="宋体"/>
          <w:sz w:val="18"/>
          <w:szCs w:val="18"/>
        </w:rPr>
        <w:t>重新验收，直至验收合格。</w:t>
      </w:r>
    </w:p>
    <w:p w14:paraId="40E3AD00">
      <w:pPr>
        <w:pStyle w:val="8"/>
        <w:spacing w:line="276" w:lineRule="auto"/>
        <w:ind w:left="850" w:firstLine="0" w:firstLineChars="0"/>
        <w:outlineLvl w:val="1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（</w:t>
      </w:r>
      <w:r>
        <w:rPr>
          <w:rFonts w:ascii="宋体" w:hAnsi="宋体" w:eastAsia="宋体"/>
          <w:sz w:val="18"/>
          <w:szCs w:val="18"/>
        </w:rPr>
        <w:t>4</w:t>
      </w:r>
      <w:r>
        <w:rPr>
          <w:rFonts w:hint="eastAsia" w:ascii="宋体" w:hAnsi="宋体" w:eastAsia="宋体"/>
          <w:sz w:val="18"/>
          <w:szCs w:val="18"/>
        </w:rPr>
        <w:t>）竣工验收合格后，与甲方办理工程移交手续，提供工程质量保修服务，按合同约定承担保修责任，定期回访，及时处理保修问题。</w:t>
      </w:r>
    </w:p>
    <w:p w14:paraId="67CA3E4D">
      <w:pPr>
        <w:pStyle w:val="8"/>
        <w:numPr>
          <w:ilvl w:val="1"/>
          <w:numId w:val="2"/>
        </w:numPr>
        <w:spacing w:line="276" w:lineRule="auto"/>
        <w:ind w:firstLineChars="0"/>
        <w:outlineLvl w:val="1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竣工资料</w:t>
      </w:r>
      <w:r>
        <w:rPr>
          <w:rFonts w:ascii="宋体" w:hAnsi="宋体" w:eastAsia="宋体"/>
          <w:sz w:val="18"/>
          <w:szCs w:val="18"/>
        </w:rPr>
        <w:t>/图纸、施工记录等</w:t>
      </w:r>
    </w:p>
    <w:p w14:paraId="71804B9C">
      <w:pPr>
        <w:pStyle w:val="8"/>
        <w:spacing w:line="276" w:lineRule="auto"/>
        <w:ind w:left="850" w:firstLine="0" w:firstLineChars="0"/>
        <w:outlineLvl w:val="1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项目完成</w:t>
      </w:r>
      <w:r>
        <w:rPr>
          <w:rFonts w:ascii="宋体" w:hAnsi="宋体" w:eastAsia="宋体"/>
          <w:sz w:val="18"/>
          <w:szCs w:val="18"/>
        </w:rPr>
        <w:t>30天内，投标方（乙方）应提交本项目的竣工文件5份纸质图纸及2</w:t>
      </w:r>
      <w:r>
        <w:rPr>
          <w:rFonts w:hint="eastAsia" w:ascii="宋体" w:hAnsi="宋体" w:eastAsia="宋体"/>
          <w:sz w:val="18"/>
          <w:szCs w:val="18"/>
          <w:lang w:eastAsia="zh-CN"/>
        </w:rPr>
        <w:t>份</w:t>
      </w:r>
      <w:r>
        <w:rPr>
          <w:rFonts w:ascii="宋体" w:hAnsi="宋体" w:eastAsia="宋体"/>
          <w:sz w:val="18"/>
          <w:szCs w:val="18"/>
        </w:rPr>
        <w:t>电子版。竣工文件应包括业主的意见及</w:t>
      </w:r>
      <w:r>
        <w:rPr>
          <w:rFonts w:hint="eastAsia" w:ascii="宋体" w:hAnsi="宋体" w:eastAsia="宋体"/>
          <w:sz w:val="18"/>
          <w:szCs w:val="18"/>
        </w:rPr>
        <w:t>实施</w:t>
      </w:r>
      <w:r>
        <w:rPr>
          <w:rFonts w:ascii="宋体" w:hAnsi="宋体" w:eastAsia="宋体"/>
          <w:sz w:val="18"/>
          <w:szCs w:val="18"/>
        </w:rPr>
        <w:t>过程中所作的修改（发现的问题及整改情况、业主审查要求等）。每份报告均</w:t>
      </w:r>
      <w:r>
        <w:rPr>
          <w:rFonts w:hint="eastAsia" w:ascii="宋体" w:hAnsi="宋体" w:eastAsia="宋体"/>
          <w:sz w:val="18"/>
          <w:szCs w:val="18"/>
          <w:lang w:eastAsia="zh-CN"/>
        </w:rPr>
        <w:t>须</w:t>
      </w:r>
      <w:r>
        <w:rPr>
          <w:rFonts w:ascii="宋体" w:hAnsi="宋体" w:eastAsia="宋体"/>
          <w:sz w:val="18"/>
          <w:szCs w:val="18"/>
        </w:rPr>
        <w:t>具有有效资质人员签字，</w:t>
      </w:r>
      <w:r>
        <w:rPr>
          <w:rFonts w:hint="eastAsia" w:ascii="宋体" w:hAnsi="宋体" w:eastAsia="宋体"/>
          <w:sz w:val="18"/>
          <w:szCs w:val="18"/>
          <w:lang w:eastAsia="zh-CN"/>
        </w:rPr>
        <w:t>加盖</w:t>
      </w:r>
      <w:r>
        <w:rPr>
          <w:rFonts w:ascii="宋体" w:hAnsi="宋体" w:eastAsia="宋体"/>
          <w:sz w:val="18"/>
          <w:szCs w:val="18"/>
        </w:rPr>
        <w:t>有效证明章（印）。</w:t>
      </w:r>
    </w:p>
    <w:p w14:paraId="06EAFF3A">
      <w:pPr>
        <w:pStyle w:val="8"/>
        <w:numPr>
          <w:ilvl w:val="1"/>
          <w:numId w:val="2"/>
        </w:numPr>
        <w:spacing w:line="276" w:lineRule="auto"/>
        <w:ind w:firstLineChars="0"/>
        <w:outlineLvl w:val="1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培训</w:t>
      </w:r>
    </w:p>
    <w:p w14:paraId="3EA9CE70">
      <w:pPr>
        <w:pStyle w:val="8"/>
        <w:spacing w:line="276" w:lineRule="auto"/>
        <w:ind w:left="850" w:firstLine="0" w:firstLineChars="0"/>
        <w:outlineLvl w:val="1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向甲方现场负责人、主管、工程师、维修、运行人员等介绍施工中遇到的问题、改动的部分、注意事项等。讲解设备性能、操作方法、维护要点及常见故障处理措施，确保运维人员能独立开展设备运维工作。</w:t>
      </w:r>
    </w:p>
    <w:p w14:paraId="38C9A089">
      <w:pPr>
        <w:pStyle w:val="8"/>
        <w:numPr>
          <w:ilvl w:val="0"/>
          <w:numId w:val="1"/>
        </w:numPr>
        <w:spacing w:line="276" w:lineRule="auto"/>
        <w:ind w:firstLineChars="0"/>
        <w:rPr>
          <w:rFonts w:ascii="宋体" w:hAnsi="宋体" w:eastAsia="宋体"/>
          <w:b/>
        </w:rPr>
      </w:pPr>
      <w:r>
        <w:rPr>
          <w:rFonts w:hint="eastAsia" w:ascii="宋体" w:hAnsi="宋体" w:eastAsia="宋体"/>
          <w:b/>
        </w:rPr>
        <w:t>质保</w:t>
      </w:r>
    </w:p>
    <w:p w14:paraId="4B3A6840">
      <w:pPr>
        <w:pStyle w:val="8"/>
        <w:numPr>
          <w:ilvl w:val="1"/>
          <w:numId w:val="2"/>
        </w:numPr>
        <w:spacing w:line="276" w:lineRule="auto"/>
        <w:ind w:firstLineChars="0"/>
        <w:outlineLvl w:val="1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质保期</w:t>
      </w:r>
    </w:p>
    <w:p w14:paraId="5ED057AE">
      <w:pPr>
        <w:pStyle w:val="8"/>
        <w:spacing w:line="276" w:lineRule="auto"/>
        <w:ind w:left="850" w:firstLine="0" w:firstLineChars="0"/>
        <w:outlineLvl w:val="1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电气设备上电</w:t>
      </w:r>
      <w:r>
        <w:rPr>
          <w:rFonts w:ascii="宋体" w:hAnsi="宋体" w:eastAsia="宋体"/>
          <w:sz w:val="18"/>
          <w:szCs w:val="18"/>
        </w:rPr>
        <w:t>72小时运行正常，其他设备</w:t>
      </w:r>
      <w:r>
        <w:rPr>
          <w:rFonts w:hint="eastAsia" w:ascii="宋体" w:hAnsi="宋体" w:eastAsia="宋体"/>
          <w:sz w:val="18"/>
          <w:szCs w:val="18"/>
        </w:rPr>
        <w:t>设施</w:t>
      </w:r>
      <w:r>
        <w:rPr>
          <w:rFonts w:ascii="宋体" w:hAnsi="宋体" w:eastAsia="宋体"/>
          <w:sz w:val="18"/>
          <w:szCs w:val="18"/>
        </w:rPr>
        <w:t>正常投运之日起保修一年。发生施工原因故障时，从故障修复之日起，重新计算保证期。</w:t>
      </w:r>
    </w:p>
    <w:p w14:paraId="01A6B2C9">
      <w:pPr>
        <w:pStyle w:val="8"/>
        <w:numPr>
          <w:ilvl w:val="1"/>
          <w:numId w:val="2"/>
        </w:numPr>
        <w:spacing w:line="276" w:lineRule="auto"/>
        <w:ind w:firstLineChars="0"/>
        <w:outlineLvl w:val="1"/>
        <w:rPr>
          <w:rFonts w:ascii="宋体" w:hAnsi="宋体" w:eastAsia="宋体"/>
          <w:sz w:val="18"/>
          <w:szCs w:val="18"/>
        </w:rPr>
      </w:pPr>
      <w:bookmarkStart w:id="15" w:name="_Toc15456"/>
      <w:r>
        <w:rPr>
          <w:rFonts w:hint="eastAsia" w:ascii="宋体" w:hAnsi="宋体" w:eastAsia="宋体"/>
          <w:sz w:val="18"/>
          <w:szCs w:val="18"/>
        </w:rPr>
        <w:t>保修范围</w:t>
      </w:r>
      <w:bookmarkEnd w:id="15"/>
    </w:p>
    <w:p w14:paraId="4A1E8FA1">
      <w:pPr>
        <w:pStyle w:val="8"/>
        <w:spacing w:line="276" w:lineRule="auto"/>
        <w:ind w:left="850" w:firstLine="0" w:firstLineChars="0"/>
        <w:outlineLvl w:val="1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保修期内，因施工质量、材料质量及安装工艺问题导致的设备故障、工程损坏，免费维修及更换相关部件；因建设方运维操作不当、不可抗力因素导致的损坏，提供维修服务，收取合理成本费用。</w:t>
      </w:r>
    </w:p>
    <w:p w14:paraId="24ECFF46">
      <w:pPr>
        <w:pStyle w:val="8"/>
        <w:numPr>
          <w:ilvl w:val="1"/>
          <w:numId w:val="2"/>
        </w:numPr>
        <w:spacing w:line="276" w:lineRule="auto"/>
        <w:ind w:firstLineChars="0"/>
        <w:outlineLvl w:val="1"/>
        <w:rPr>
          <w:rFonts w:ascii="宋体" w:hAnsi="宋体" w:eastAsia="宋体"/>
          <w:sz w:val="18"/>
          <w:szCs w:val="18"/>
        </w:rPr>
      </w:pPr>
      <w:bookmarkStart w:id="16" w:name="_Toc26875"/>
      <w:r>
        <w:rPr>
          <w:rFonts w:hint="eastAsia" w:ascii="宋体" w:hAnsi="宋体" w:eastAsia="宋体"/>
          <w:sz w:val="18"/>
          <w:szCs w:val="18"/>
        </w:rPr>
        <w:t>技术支持</w:t>
      </w:r>
      <w:bookmarkEnd w:id="16"/>
    </w:p>
    <w:p w14:paraId="03FE0E79">
      <w:pPr>
        <w:pStyle w:val="8"/>
        <w:spacing w:line="276" w:lineRule="auto"/>
        <w:ind w:left="850" w:firstLine="0" w:firstLineChars="0"/>
        <w:outlineLvl w:val="1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长期为甲方提供技术支持，解答设备运维及技术问题。</w:t>
      </w:r>
    </w:p>
    <w:p w14:paraId="2D851FA8">
      <w:pPr>
        <w:pStyle w:val="8"/>
        <w:numPr>
          <w:ilvl w:val="0"/>
          <w:numId w:val="1"/>
        </w:numPr>
        <w:spacing w:line="276" w:lineRule="auto"/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  <w:b/>
        </w:rPr>
        <w:t>承包商资质和其他要求</w:t>
      </w:r>
    </w:p>
    <w:p w14:paraId="4E03B54C">
      <w:pPr>
        <w:pStyle w:val="8"/>
        <w:numPr>
          <w:ilvl w:val="1"/>
          <w:numId w:val="2"/>
        </w:numPr>
        <w:spacing w:line="276" w:lineRule="auto"/>
        <w:ind w:firstLineChars="0"/>
        <w:outlineLvl w:val="1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投标单位资质及资质等级要求</w:t>
      </w:r>
    </w:p>
    <w:p w14:paraId="0BC611B6">
      <w:pPr>
        <w:pStyle w:val="8"/>
        <w:spacing w:line="276" w:lineRule="auto"/>
        <w:ind w:left="850" w:firstLine="0" w:firstLineChars="0"/>
        <w:outlineLvl w:val="1"/>
        <w:rPr>
          <w:rFonts w:ascii="宋体" w:hAnsi="宋体" w:eastAsia="宋体"/>
          <w:sz w:val="18"/>
          <w:szCs w:val="18"/>
        </w:rPr>
      </w:pPr>
      <w:r>
        <w:rPr>
          <w:rFonts w:ascii="宋体" w:hAnsi="宋体" w:eastAsia="宋体"/>
          <w:sz w:val="18"/>
          <w:szCs w:val="18"/>
        </w:rPr>
        <w:t>安全生产资质要求：具备有效的安全生产许可证，且投标单位主要负责人（法定代表人）、项目负责人、专职安全生产管理人员须具备相应的安全生产考核合格证书（法定代表人A证、项目负责人B证、专职安全生产管理人员C证）。</w:t>
      </w:r>
    </w:p>
    <w:p w14:paraId="20E3C3F5">
      <w:pPr>
        <w:pStyle w:val="8"/>
        <w:spacing w:line="276" w:lineRule="auto"/>
        <w:ind w:left="850" w:firstLine="0" w:firstLineChars="0"/>
        <w:outlineLvl w:val="1"/>
        <w:rPr>
          <w:rFonts w:ascii="宋体" w:hAnsi="宋体" w:eastAsia="宋体"/>
          <w:sz w:val="18"/>
          <w:szCs w:val="18"/>
        </w:rPr>
      </w:pPr>
      <w:r>
        <w:rPr>
          <w:rFonts w:ascii="宋体" w:hAnsi="宋体" w:eastAsia="宋体"/>
          <w:sz w:val="18"/>
          <w:szCs w:val="18"/>
        </w:rPr>
        <w:t>其他专项资质要求：具备有效的质量管理体系认证证书（ISO9001）、环境管理体系认证证书（ISO14001）、职业健康安全管理体系认证证书（ISO45001）。</w:t>
      </w:r>
    </w:p>
    <w:p w14:paraId="4D0FA434">
      <w:pPr>
        <w:pStyle w:val="8"/>
        <w:numPr>
          <w:ilvl w:val="1"/>
          <w:numId w:val="2"/>
        </w:numPr>
        <w:spacing w:line="276" w:lineRule="auto"/>
        <w:ind w:firstLineChars="0"/>
        <w:outlineLvl w:val="1"/>
        <w:rPr>
          <w:rFonts w:ascii="宋体" w:hAnsi="宋体" w:eastAsia="宋体"/>
          <w:sz w:val="18"/>
          <w:szCs w:val="18"/>
        </w:rPr>
      </w:pPr>
      <w:r>
        <w:rPr>
          <w:rFonts w:ascii="宋体" w:hAnsi="宋体" w:eastAsia="宋体"/>
          <w:sz w:val="18"/>
          <w:szCs w:val="18"/>
        </w:rPr>
        <w:t>人员资质要求：</w:t>
      </w:r>
    </w:p>
    <w:p w14:paraId="4E5F732C">
      <w:pPr>
        <w:pStyle w:val="8"/>
        <w:spacing w:line="276" w:lineRule="auto"/>
        <w:ind w:left="850" w:firstLine="0" w:firstLineChars="0"/>
        <w:outlineLvl w:val="1"/>
        <w:rPr>
          <w:rFonts w:ascii="宋体" w:hAnsi="宋体" w:eastAsia="宋体"/>
          <w:sz w:val="18"/>
          <w:szCs w:val="18"/>
        </w:rPr>
      </w:pPr>
      <w:r>
        <w:rPr>
          <w:rFonts w:ascii="宋体" w:hAnsi="宋体" w:eastAsia="宋体"/>
          <w:sz w:val="18"/>
          <w:szCs w:val="18"/>
        </w:rPr>
        <w:t>拟投入本项目的项目负责人须具备机电</w:t>
      </w:r>
      <w:r>
        <w:rPr>
          <w:rFonts w:hint="eastAsia" w:ascii="宋体" w:hAnsi="宋体" w:eastAsia="宋体"/>
          <w:sz w:val="18"/>
          <w:szCs w:val="18"/>
        </w:rPr>
        <w:t>或建筑</w:t>
      </w:r>
      <w:r>
        <w:rPr>
          <w:rFonts w:ascii="宋体" w:hAnsi="宋体" w:eastAsia="宋体"/>
          <w:sz w:val="18"/>
          <w:szCs w:val="18"/>
        </w:rPr>
        <w:t>工程专业二级及以上注册建造师证书，且未担任在建项目的项目负责人（提供承诺书）；承包商拟派的所有人员必须为投标人本单位人员，需提供身份证、职称证、社保缴纳证明材料。</w:t>
      </w:r>
    </w:p>
    <w:p w14:paraId="2FBD0B5E">
      <w:pPr>
        <w:pStyle w:val="8"/>
        <w:numPr>
          <w:ilvl w:val="1"/>
          <w:numId w:val="2"/>
        </w:numPr>
        <w:spacing w:line="276" w:lineRule="auto"/>
        <w:ind w:firstLineChars="0"/>
        <w:outlineLvl w:val="1"/>
        <w:rPr>
          <w:rFonts w:ascii="宋体" w:hAnsi="宋体" w:eastAsia="宋体"/>
          <w:sz w:val="18"/>
          <w:szCs w:val="18"/>
        </w:rPr>
      </w:pPr>
      <w:r>
        <w:rPr>
          <w:rFonts w:ascii="宋体" w:hAnsi="宋体" w:eastAsia="宋体"/>
          <w:sz w:val="18"/>
          <w:szCs w:val="18"/>
        </w:rPr>
        <w:t>业绩要求：</w:t>
      </w:r>
    </w:p>
    <w:p w14:paraId="17463179">
      <w:pPr>
        <w:pStyle w:val="8"/>
        <w:spacing w:line="276" w:lineRule="auto"/>
        <w:ind w:left="850" w:firstLine="0" w:firstLineChars="0"/>
        <w:outlineLvl w:val="1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投标单位近</w:t>
      </w:r>
      <w:r>
        <w:rPr>
          <w:rFonts w:ascii="宋体" w:hAnsi="宋体" w:eastAsia="宋体"/>
          <w:sz w:val="18"/>
          <w:szCs w:val="18"/>
        </w:rPr>
        <w:t>3年（2023年1月1日至投标截止日，以合同签订时间为准）须具备至少5个类似项目业绩</w:t>
      </w:r>
      <w:r>
        <w:rPr>
          <w:rFonts w:hint="eastAsia" w:ascii="宋体" w:hAnsi="宋体" w:eastAsia="宋体"/>
          <w:sz w:val="18"/>
          <w:szCs w:val="18"/>
        </w:rPr>
        <w:t>，且单项业绩合同金额不低于本项目估算金额的</w:t>
      </w:r>
      <w:r>
        <w:rPr>
          <w:rFonts w:ascii="宋体" w:hAnsi="宋体" w:eastAsia="宋体"/>
          <w:sz w:val="18"/>
          <w:szCs w:val="18"/>
        </w:rPr>
        <w:t>50%。</w:t>
      </w:r>
      <w:r>
        <w:rPr>
          <w:rFonts w:hint="eastAsia" w:ascii="宋体" w:hAnsi="宋体" w:eastAsia="宋体"/>
          <w:sz w:val="18"/>
          <w:szCs w:val="18"/>
        </w:rPr>
        <w:t>业绩须为投标单位独立承揽完成的项目（不接受分包、转包业绩），需提供完整的佐证材料，</w:t>
      </w:r>
    </w:p>
    <w:p w14:paraId="23F50C42">
      <w:pPr>
        <w:pStyle w:val="8"/>
        <w:numPr>
          <w:ilvl w:val="1"/>
          <w:numId w:val="2"/>
        </w:numPr>
        <w:spacing w:line="276" w:lineRule="auto"/>
        <w:ind w:firstLineChars="0"/>
        <w:outlineLvl w:val="1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售后</w:t>
      </w:r>
      <w:r>
        <w:rPr>
          <w:rFonts w:ascii="宋体" w:hAnsi="宋体" w:eastAsia="宋体"/>
          <w:sz w:val="18"/>
          <w:szCs w:val="18"/>
        </w:rPr>
        <w:t>技术服务要求</w:t>
      </w:r>
    </w:p>
    <w:p w14:paraId="6D96C85D">
      <w:pPr>
        <w:pStyle w:val="8"/>
        <w:spacing w:line="276" w:lineRule="auto"/>
        <w:ind w:left="850" w:firstLine="0" w:firstLineChars="0"/>
        <w:outlineLvl w:val="1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设备在运行中出现的安装质量问题</w:t>
      </w:r>
      <w:r>
        <w:rPr>
          <w:rFonts w:hint="eastAsia" w:ascii="宋体" w:hAnsi="宋体" w:eastAsia="宋体"/>
          <w:sz w:val="18"/>
          <w:szCs w:val="18"/>
          <w:lang w:eastAsia="zh-CN"/>
        </w:rPr>
        <w:t>，</w:t>
      </w:r>
      <w:r>
        <w:rPr>
          <w:rFonts w:ascii="宋体" w:hAnsi="宋体" w:eastAsia="宋体"/>
          <w:sz w:val="18"/>
          <w:szCs w:val="18"/>
        </w:rPr>
        <w:t>乙方接到通知后将在24小时内</w:t>
      </w:r>
      <w:r>
        <w:rPr>
          <w:rFonts w:hint="eastAsia" w:ascii="宋体" w:hAnsi="宋体" w:eastAsia="宋体"/>
          <w:sz w:val="18"/>
          <w:szCs w:val="18"/>
          <w:lang w:eastAsia="zh-CN"/>
        </w:rPr>
        <w:t>给予</w:t>
      </w:r>
      <w:r>
        <w:rPr>
          <w:rFonts w:ascii="宋体" w:hAnsi="宋体" w:eastAsia="宋体"/>
          <w:sz w:val="18"/>
          <w:szCs w:val="18"/>
        </w:rPr>
        <w:t>答复</w:t>
      </w:r>
      <w:r>
        <w:rPr>
          <w:rFonts w:hint="eastAsia" w:ascii="宋体" w:hAnsi="宋体" w:eastAsia="宋体"/>
          <w:sz w:val="18"/>
          <w:szCs w:val="18"/>
        </w:rPr>
        <w:t>。保修期内提供免费上门维修服务</w:t>
      </w:r>
      <w:r>
        <w:rPr>
          <w:rFonts w:ascii="宋体" w:hAnsi="宋体" w:eastAsia="宋体"/>
          <w:sz w:val="18"/>
          <w:szCs w:val="18"/>
        </w:rPr>
        <w:t>，提供技术咨询及运维指导，协助建设方做好设备维护工作。</w:t>
      </w:r>
    </w:p>
    <w:p w14:paraId="535E8484">
      <w:pPr>
        <w:pStyle w:val="8"/>
        <w:numPr>
          <w:ilvl w:val="0"/>
          <w:numId w:val="1"/>
        </w:numPr>
        <w:spacing w:line="276" w:lineRule="auto"/>
        <w:ind w:firstLineChars="0"/>
        <w:rPr>
          <w:rFonts w:ascii="宋体" w:hAnsi="宋体" w:eastAsia="宋体"/>
          <w:b/>
        </w:rPr>
      </w:pPr>
      <w:r>
        <w:rPr>
          <w:rFonts w:hint="eastAsia" w:ascii="宋体" w:hAnsi="宋体" w:eastAsia="宋体"/>
          <w:b/>
        </w:rPr>
        <w:t>安全要求</w:t>
      </w:r>
    </w:p>
    <w:p w14:paraId="351F69A2">
      <w:pPr>
        <w:pStyle w:val="8"/>
        <w:numPr>
          <w:ilvl w:val="1"/>
          <w:numId w:val="2"/>
        </w:numPr>
        <w:spacing w:line="276" w:lineRule="auto"/>
        <w:ind w:firstLineChars="0"/>
        <w:outlineLvl w:val="1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工程/服务特别要求</w:t>
      </w:r>
    </w:p>
    <w:p w14:paraId="73755C8D">
      <w:pPr>
        <w:pStyle w:val="8"/>
        <w:spacing w:line="276" w:lineRule="auto"/>
        <w:ind w:left="850" w:firstLine="0" w:firstLineChars="0"/>
        <w:outlineLvl w:val="1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（1）做好配电室中运行设备的隔离防护，施工过程中</w:t>
      </w:r>
      <w:r>
        <w:rPr>
          <w:rFonts w:hint="eastAsia" w:ascii="宋体" w:hAnsi="宋体" w:eastAsia="宋体"/>
          <w:b/>
          <w:sz w:val="18"/>
          <w:szCs w:val="18"/>
        </w:rPr>
        <w:t>严禁触碰室内高压设备</w:t>
      </w:r>
      <w:r>
        <w:rPr>
          <w:rFonts w:hint="eastAsia" w:ascii="宋体" w:hAnsi="宋体" w:eastAsia="宋体"/>
          <w:sz w:val="18"/>
          <w:szCs w:val="18"/>
        </w:rPr>
        <w:t>（开关柜、电容器），做好防尘措施，减少灰尘进入运行设备。</w:t>
      </w:r>
      <w:bookmarkStart w:id="17" w:name="OLE_LINK1"/>
      <w:r>
        <w:rPr>
          <w:rFonts w:hint="eastAsia" w:ascii="宋体" w:hAnsi="宋体" w:eastAsia="宋体"/>
          <w:sz w:val="18"/>
          <w:szCs w:val="18"/>
        </w:rPr>
        <w:t>施工过程中将</w:t>
      </w:r>
      <w:r>
        <w:rPr>
          <w:rFonts w:hint="eastAsia" w:ascii="宋体" w:hAnsi="宋体" w:eastAsia="宋体"/>
          <w:b/>
          <w:sz w:val="18"/>
          <w:szCs w:val="18"/>
        </w:rPr>
        <w:t>七氟丙烷灭火系统</w:t>
      </w:r>
      <w:r>
        <w:rPr>
          <w:rFonts w:hint="eastAsia" w:ascii="宋体" w:hAnsi="宋体" w:eastAsia="宋体"/>
          <w:b/>
          <w:sz w:val="18"/>
          <w:szCs w:val="18"/>
          <w:lang w:eastAsia="zh-CN"/>
        </w:rPr>
        <w:t>置于</w:t>
      </w:r>
      <w:r>
        <w:rPr>
          <w:rFonts w:hint="eastAsia" w:ascii="宋体" w:hAnsi="宋体" w:eastAsia="宋体"/>
          <w:b/>
          <w:sz w:val="18"/>
          <w:szCs w:val="18"/>
        </w:rPr>
        <w:t>手动位置</w:t>
      </w:r>
      <w:bookmarkEnd w:id="17"/>
      <w:r>
        <w:rPr>
          <w:rFonts w:hint="eastAsia" w:ascii="宋体" w:hAnsi="宋体" w:eastAsia="宋体"/>
          <w:b/>
          <w:sz w:val="18"/>
          <w:szCs w:val="18"/>
        </w:rPr>
        <w:t>，</w:t>
      </w:r>
      <w:r>
        <w:rPr>
          <w:rFonts w:hint="eastAsia" w:ascii="宋体" w:hAnsi="宋体" w:eastAsia="宋体"/>
          <w:sz w:val="18"/>
          <w:szCs w:val="18"/>
        </w:rPr>
        <w:t>其他消防“温感、烟感”等报警装置采取防止误报警</w:t>
      </w:r>
      <w:r>
        <w:rPr>
          <w:rFonts w:ascii="宋体" w:hAnsi="宋体" w:eastAsia="宋体"/>
          <w:sz w:val="18"/>
          <w:szCs w:val="18"/>
        </w:rPr>
        <w:t>措施</w:t>
      </w:r>
      <w:r>
        <w:rPr>
          <w:rFonts w:hint="eastAsia" w:ascii="宋体" w:hAnsi="宋体" w:eastAsia="宋体"/>
          <w:sz w:val="18"/>
          <w:szCs w:val="18"/>
        </w:rPr>
        <w:t>。</w:t>
      </w:r>
    </w:p>
    <w:p w14:paraId="647CDAE2">
      <w:pPr>
        <w:pStyle w:val="8"/>
        <w:spacing w:line="276" w:lineRule="auto"/>
        <w:ind w:left="850" w:firstLine="0" w:firstLineChars="0"/>
        <w:outlineLvl w:val="1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（2）所有工作要求有资质的人员完成，并按照昆纤公司的要求经过培训合格后方可作业，培训工作原则上只进行一次，施工过程中严禁更换工作人员。所使用电气设备、仪器必须满足要求。施工单位必须向</w:t>
      </w:r>
      <w:r>
        <w:rPr>
          <w:rFonts w:hint="eastAsia" w:ascii="宋体" w:hAnsi="宋体" w:eastAsia="宋体"/>
          <w:sz w:val="18"/>
          <w:szCs w:val="18"/>
          <w:lang w:eastAsia="zh-CN"/>
        </w:rPr>
        <w:t>施工</w:t>
      </w:r>
      <w:r>
        <w:rPr>
          <w:rFonts w:hint="eastAsia" w:ascii="宋体" w:hAnsi="宋体" w:eastAsia="宋体"/>
          <w:sz w:val="18"/>
          <w:szCs w:val="18"/>
        </w:rPr>
        <w:t>人员提供劳动保护设施及用品，必须佩戴安全帽、穿绝缘鞋，并统一着装。</w:t>
      </w:r>
    </w:p>
    <w:p w14:paraId="07FD0BB5">
      <w:pPr>
        <w:pStyle w:val="8"/>
        <w:spacing w:line="276" w:lineRule="auto"/>
        <w:ind w:left="850" w:firstLine="0" w:firstLineChars="0"/>
        <w:outlineLvl w:val="1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（</w:t>
      </w:r>
      <w:r>
        <w:rPr>
          <w:rFonts w:ascii="宋体" w:hAnsi="宋体" w:eastAsia="宋体"/>
          <w:sz w:val="18"/>
          <w:szCs w:val="18"/>
        </w:rPr>
        <w:t>3） 提前填写《特殊工种的持证人员名单》，注明所持政府部门颁发的有效特殊工种的种类。备好证件原件或复印件备查。</w:t>
      </w:r>
      <w:r>
        <w:rPr>
          <w:rFonts w:hint="eastAsia" w:ascii="宋体" w:hAnsi="宋体" w:eastAsia="宋体"/>
          <w:sz w:val="18"/>
          <w:szCs w:val="18"/>
          <w:lang w:eastAsia="zh-CN"/>
        </w:rPr>
        <w:t>涉及</w:t>
      </w:r>
      <w:r>
        <w:rPr>
          <w:rFonts w:ascii="宋体" w:hAnsi="宋体" w:eastAsia="宋体"/>
          <w:sz w:val="18"/>
          <w:szCs w:val="18"/>
        </w:rPr>
        <w:t>焊接、切割、打磨、使用会产生火焰、电弧、高热或火花的设备</w:t>
      </w:r>
      <w:r>
        <w:rPr>
          <w:rFonts w:hint="eastAsia" w:ascii="宋体" w:hAnsi="宋体" w:eastAsia="宋体"/>
          <w:sz w:val="18"/>
          <w:szCs w:val="18"/>
          <w:lang w:eastAsia="zh-CN"/>
        </w:rPr>
        <w:t>等</w:t>
      </w:r>
      <w:r>
        <w:rPr>
          <w:rFonts w:ascii="宋体" w:hAnsi="宋体" w:eastAsia="宋体"/>
          <w:sz w:val="18"/>
          <w:szCs w:val="18"/>
        </w:rPr>
        <w:t>工作，须办理《热工作许可证》。动火点</w:t>
      </w:r>
      <w:r>
        <w:rPr>
          <w:rFonts w:hint="eastAsia" w:ascii="宋体" w:hAnsi="宋体" w:eastAsia="宋体"/>
          <w:sz w:val="18"/>
          <w:szCs w:val="18"/>
          <w:lang w:eastAsia="zh-CN"/>
        </w:rPr>
        <w:t>必须</w:t>
      </w:r>
      <w:r>
        <w:rPr>
          <w:rFonts w:ascii="宋体" w:hAnsi="宋体" w:eastAsia="宋体"/>
          <w:sz w:val="18"/>
          <w:szCs w:val="18"/>
        </w:rPr>
        <w:t>放置2</w:t>
      </w:r>
      <w:r>
        <w:rPr>
          <w:rFonts w:hint="eastAsia" w:ascii="宋体" w:hAnsi="宋体" w:eastAsia="宋体"/>
          <w:sz w:val="18"/>
          <w:szCs w:val="18"/>
          <w:lang w:eastAsia="zh-CN"/>
        </w:rPr>
        <w:t>支</w:t>
      </w:r>
      <w:r>
        <w:rPr>
          <w:rFonts w:ascii="宋体" w:hAnsi="宋体" w:eastAsia="宋体"/>
          <w:sz w:val="18"/>
          <w:szCs w:val="18"/>
        </w:rPr>
        <w:t>灭火器，并应安排人员负责监火。电气设备或线路上的工作要办理工作票</w:t>
      </w:r>
      <w:r>
        <w:rPr>
          <w:rFonts w:hint="eastAsia" w:ascii="宋体" w:hAnsi="宋体" w:eastAsia="宋体"/>
          <w:sz w:val="18"/>
          <w:szCs w:val="18"/>
          <w:lang w:eastAsia="zh-CN"/>
        </w:rPr>
        <w:t>，</w:t>
      </w:r>
      <w:r>
        <w:rPr>
          <w:rFonts w:ascii="宋体" w:hAnsi="宋体" w:eastAsia="宋体"/>
          <w:sz w:val="18"/>
          <w:szCs w:val="18"/>
        </w:rPr>
        <w:t>当电器回路打开修理时，应将电源断开、锁定、挂牌，直到检修完成方能拆除。任何高度在2米或2米以上的无防护栏的工作平面工作，应使用防跌落器材，如安全绳安全网，避免多层交叉作业，不能避免时须用安全网隔离。进行高空</w:t>
      </w:r>
      <w:r>
        <w:rPr>
          <w:rFonts w:hint="eastAsia" w:ascii="宋体" w:hAnsi="宋体" w:eastAsia="宋体"/>
          <w:sz w:val="18"/>
          <w:szCs w:val="18"/>
        </w:rPr>
        <w:t>作业前须办理《高处作业许可证》。所有安全设施费用由投标单位负责，在投标报价中体现。</w:t>
      </w:r>
    </w:p>
    <w:p w14:paraId="3193C397">
      <w:pPr>
        <w:pStyle w:val="8"/>
        <w:numPr>
          <w:ilvl w:val="1"/>
          <w:numId w:val="2"/>
        </w:numPr>
        <w:spacing w:line="276" w:lineRule="auto"/>
        <w:ind w:firstLineChars="0"/>
        <w:outlineLvl w:val="1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施工安全方案要求</w:t>
      </w:r>
    </w:p>
    <w:p w14:paraId="45A952F4">
      <w:pPr>
        <w:pStyle w:val="8"/>
        <w:spacing w:line="276" w:lineRule="auto"/>
        <w:ind w:left="850" w:firstLine="0" w:firstLineChars="0"/>
        <w:outlineLvl w:val="1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投标方需充分识别改造过程中的安全风险，针对性编制满足招标文件要求的《施工安全方案》，制定有效的防范和安全文明施工保证措施，确保改造工作安全完成。</w:t>
      </w:r>
    </w:p>
    <w:p w14:paraId="1E11BF39">
      <w:pPr>
        <w:pStyle w:val="8"/>
        <w:spacing w:line="276" w:lineRule="auto"/>
        <w:ind w:left="850" w:firstLine="0" w:firstLineChars="0"/>
        <w:outlineLvl w:val="1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签订合同后，投标方需在5个工作日内完善《施工安全方案》经甲方安全环保部确认，并在改造工</w:t>
      </w:r>
      <w:r>
        <w:rPr>
          <w:rFonts w:hint="eastAsia" w:ascii="宋体" w:hAnsi="宋体" w:eastAsia="宋体"/>
          <w:sz w:val="18"/>
          <w:szCs w:val="18"/>
          <w:lang w:eastAsia="zh-CN"/>
        </w:rPr>
        <w:t>作中</w:t>
      </w:r>
      <w:r>
        <w:rPr>
          <w:rFonts w:hint="eastAsia" w:ascii="宋体" w:hAnsi="宋体" w:eastAsia="宋体"/>
          <w:sz w:val="18"/>
          <w:szCs w:val="18"/>
        </w:rPr>
        <w:t>严格执行。</w:t>
      </w:r>
    </w:p>
    <w:p w14:paraId="3B23125A">
      <w:pPr>
        <w:pStyle w:val="8"/>
        <w:numPr>
          <w:ilvl w:val="0"/>
          <w:numId w:val="1"/>
        </w:numPr>
        <w:spacing w:line="276" w:lineRule="auto"/>
        <w:ind w:firstLineChars="0"/>
        <w:rPr>
          <w:rFonts w:ascii="宋体" w:hAnsi="宋体" w:eastAsia="宋体"/>
          <w:b/>
        </w:rPr>
      </w:pPr>
      <w:r>
        <w:rPr>
          <w:rFonts w:hint="eastAsia" w:ascii="宋体" w:hAnsi="宋体" w:eastAsia="宋体"/>
          <w:b/>
        </w:rPr>
        <w:t>附件</w:t>
      </w:r>
    </w:p>
    <w:p w14:paraId="18CF166F">
      <w:pPr>
        <w:pStyle w:val="8"/>
        <w:numPr>
          <w:ilvl w:val="1"/>
          <w:numId w:val="2"/>
        </w:numPr>
        <w:spacing w:line="276" w:lineRule="auto"/>
        <w:ind w:firstLineChars="0"/>
        <w:outlineLvl w:val="1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图纸</w:t>
      </w:r>
    </w:p>
    <w:p w14:paraId="3590C62D">
      <w:pPr>
        <w:pStyle w:val="8"/>
        <w:spacing w:line="276" w:lineRule="auto"/>
        <w:ind w:left="425" w:firstLine="360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防小动物挡板图照明平面布置图详见附图一，总降电源箱</w:t>
      </w:r>
      <w:r>
        <w:rPr>
          <w:rFonts w:ascii="宋体" w:hAnsi="宋体" w:eastAsia="宋体"/>
          <w:sz w:val="18"/>
          <w:szCs w:val="18"/>
        </w:rPr>
        <w:t>ZM及应急灯配电箱ALE系统接线图</w:t>
      </w:r>
      <w:r>
        <w:rPr>
          <w:rFonts w:hint="eastAsia" w:ascii="宋体" w:hAnsi="宋体" w:eastAsia="宋体"/>
          <w:sz w:val="18"/>
          <w:szCs w:val="18"/>
        </w:rPr>
        <w:t>详见附图二，低压配电柜系统图见附图三，详见附图四。</w:t>
      </w:r>
    </w:p>
    <w:p w14:paraId="6943909D">
      <w:pPr>
        <w:pStyle w:val="8"/>
        <w:numPr>
          <w:ilvl w:val="1"/>
          <w:numId w:val="2"/>
        </w:numPr>
        <w:spacing w:line="276" w:lineRule="auto"/>
        <w:ind w:firstLineChars="0"/>
        <w:outlineLvl w:val="1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KCFC承包商入厂作业基本安全要求</w:t>
      </w:r>
    </w:p>
    <w:p w14:paraId="37099020">
      <w:pPr>
        <w:pStyle w:val="8"/>
        <w:spacing w:line="276" w:lineRule="auto"/>
        <w:ind w:left="425" w:firstLine="360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（1）项目施工时施工单位除严格执行国家相关安全规范外，还应严格执行昆纤安全管理制度及《现场施工检查、监护表》《移动电器检查（监护）表》及《临时用电申请表》《昆纤公司项目隐蔽工程随工验收单》的安全要求。施工单位应指定安全员进行监督，并每周进行不少于1次《现场施工检查、监护表》的填写上报项目负责人。</w:t>
      </w:r>
    </w:p>
    <w:p w14:paraId="1D78DEC7">
      <w:pPr>
        <w:pStyle w:val="8"/>
        <w:spacing w:line="276" w:lineRule="auto"/>
        <w:ind w:left="425" w:firstLine="360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（2） 如果乙方违反施工安全方案、操作规程或违反甲方防火、防静电及其它厂纪厂规，将视为违反《承包商环境、健康、安全协议》。</w:t>
      </w:r>
    </w:p>
    <w:p w14:paraId="45FAEA5B">
      <w:pPr>
        <w:pStyle w:val="8"/>
        <w:numPr>
          <w:ilvl w:val="1"/>
          <w:numId w:val="2"/>
        </w:numPr>
        <w:spacing w:line="276" w:lineRule="auto"/>
        <w:ind w:firstLineChars="0"/>
        <w:outlineLvl w:val="1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其他</w:t>
      </w:r>
    </w:p>
    <w:p w14:paraId="045C0B97">
      <w:pPr>
        <w:snapToGrid w:val="0"/>
        <w:spacing w:line="276" w:lineRule="auto"/>
        <w:ind w:firstLine="900" w:firstLineChars="500"/>
        <w:rPr>
          <w:rFonts w:ascii="宋体" w:hAnsi="宋体"/>
          <w:sz w:val="18"/>
          <w:szCs w:val="18"/>
        </w:rPr>
      </w:pPr>
      <w:bookmarkStart w:id="18" w:name="_MON_1830785432"/>
      <w:bookmarkEnd w:id="18"/>
      <w:r>
        <w:rPr>
          <w:rFonts w:ascii="宋体" w:hAnsi="宋体"/>
          <w:sz w:val="18"/>
          <w:szCs w:val="18"/>
        </w:rPr>
        <w:object>
          <v:shape id="_x0000_i1025" o:spt="75" type="#_x0000_t75" style="height:50.5pt;width:72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Word.Document.8" ShapeID="_x0000_i1025" DrawAspect="Icon" ObjectID="_1468075725" r:id="rId6">
            <o:LockedField>false</o:LockedField>
          </o:OLEObject>
        </w:object>
      </w:r>
    </w:p>
    <w:p w14:paraId="433F325A">
      <w:pPr>
        <w:snapToGrid w:val="0"/>
        <w:spacing w:line="276" w:lineRule="auto"/>
        <w:rPr>
          <w:rFonts w:ascii="宋体" w:hAnsi="宋体" w:eastAsia="宋体"/>
          <w:sz w:val="18"/>
          <w:szCs w:val="18"/>
        </w:rPr>
      </w:pPr>
      <w:r>
        <w:rPr>
          <w:rFonts w:ascii="宋体" w:hAnsi="宋体"/>
          <w:b/>
          <w:sz w:val="18"/>
          <w:szCs w:val="18"/>
        </w:rPr>
        <w:br w:type="page"/>
      </w:r>
      <w:r>
        <w:rPr>
          <w:rFonts w:hint="eastAsia" w:ascii="宋体" w:hAnsi="宋体" w:eastAsia="宋体"/>
          <w:b/>
          <w:sz w:val="18"/>
          <w:szCs w:val="18"/>
        </w:rPr>
        <w:t>附件一：</w:t>
      </w:r>
      <w:r>
        <w:rPr>
          <w:rFonts w:ascii="宋体" w:hAnsi="宋体" w:eastAsia="宋体"/>
          <w:szCs w:val="21"/>
        </w:rPr>
        <w:t xml:space="preserve"> </w:t>
      </w:r>
      <w:bookmarkStart w:id="19" w:name="_Hlk220702216"/>
      <w:r>
        <w:rPr>
          <w:rFonts w:hint="eastAsia" w:ascii="宋体" w:hAnsi="宋体" w:eastAsia="宋体"/>
          <w:b/>
          <w:sz w:val="18"/>
          <w:szCs w:val="18"/>
        </w:rPr>
        <w:t>电缆清册</w:t>
      </w:r>
    </w:p>
    <w:tbl>
      <w:tblPr>
        <w:tblStyle w:val="5"/>
        <w:tblW w:w="9258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3"/>
        <w:gridCol w:w="2410"/>
        <w:gridCol w:w="992"/>
        <w:gridCol w:w="1701"/>
        <w:gridCol w:w="1843"/>
        <w:gridCol w:w="1559"/>
      </w:tblGrid>
      <w:tr w14:paraId="241517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7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99A3FD">
            <w:pPr>
              <w:widowControl/>
              <w:jc w:val="center"/>
              <w:textAlignment w:val="bottom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bookmarkStart w:id="20" w:name="OLE_LINK4"/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0FAFCB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18"/>
                <w:szCs w:val="18"/>
                <w:lang w:bidi="ar"/>
              </w:rPr>
              <w:t xml:space="preserve">电缆型号                    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81CD82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18"/>
                <w:szCs w:val="18"/>
                <w:lang w:bidi="ar"/>
              </w:rPr>
              <w:t>长度</w:t>
            </w: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18"/>
                <w:szCs w:val="18"/>
                <w:lang w:eastAsia="zh-CN" w:bidi="ar"/>
              </w:rPr>
              <w:t>（</w:t>
            </w: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18"/>
                <w:szCs w:val="18"/>
                <w:lang w:bidi="ar"/>
              </w:rPr>
              <w:t>m</w:t>
            </w: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18"/>
                <w:szCs w:val="18"/>
                <w:lang w:eastAsia="zh-CN" w:bidi="ar"/>
              </w:rPr>
              <w:t>）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A00A3D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18"/>
                <w:szCs w:val="18"/>
                <w:lang w:bidi="ar"/>
              </w:rPr>
              <w:t>起       点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7471F0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18"/>
                <w:szCs w:val="18"/>
                <w:lang w:bidi="ar"/>
              </w:rPr>
              <w:t>止       点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01144F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18"/>
                <w:szCs w:val="18"/>
                <w:lang w:bidi="ar"/>
              </w:rPr>
              <w:t>备注</w:t>
            </w:r>
          </w:p>
        </w:tc>
      </w:tr>
      <w:tr w14:paraId="0FEB0F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7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101EC6">
            <w:pPr>
              <w:widowControl/>
              <w:jc w:val="center"/>
              <w:textAlignment w:val="bottom"/>
              <w:rPr>
                <w:rFonts w:ascii="宋体" w:hAnsi="宋体" w:eastAsia="宋体" w:cs="宋体"/>
                <w:sz w:val="18"/>
                <w:szCs w:val="18"/>
              </w:rPr>
            </w:pPr>
            <w:bookmarkStart w:id="21" w:name="_Hlk221102747"/>
            <w:r>
              <w:rPr>
                <w:rFonts w:ascii="宋体" w:hAnsi="宋体" w:eastAsia="宋体" w:cs="宋体"/>
                <w:sz w:val="18"/>
                <w:szCs w:val="18"/>
              </w:rPr>
              <w:t>1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1AEAFA">
            <w:pPr>
              <w:widowControl/>
              <w:jc w:val="left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ZN-YJV-0.6/1kV  4×50+25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095CB7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  <w:t>400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E1D097">
            <w:pPr>
              <w:widowControl/>
              <w:jc w:val="left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热电新P</w:t>
            </w:r>
            <w:r>
              <w:rPr>
                <w:rFonts w:ascii="宋体" w:hAnsi="宋体" w:eastAsia="宋体" w:cs="宋体"/>
                <w:sz w:val="18"/>
                <w:szCs w:val="18"/>
              </w:rPr>
              <w:t>C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4CD0B4">
            <w:pPr>
              <w:widowControl/>
              <w:jc w:val="left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低压配电柜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DE8243">
            <w:pPr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进线电源</w:t>
            </w:r>
          </w:p>
        </w:tc>
      </w:tr>
      <w:tr w14:paraId="5B6D4E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7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24B400">
            <w:pPr>
              <w:widowControl/>
              <w:jc w:val="center"/>
              <w:textAlignment w:val="bottom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DB888F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ZN-YJV-0.6/1kV  5×10mm2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685475"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48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CFA284">
            <w:pPr>
              <w:widowControl/>
              <w:jc w:val="left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低压配电柜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4499D1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总降电源箱</w:t>
            </w:r>
            <w:r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  <w:t>ZM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71EA6A">
            <w:pPr>
              <w:jc w:val="center"/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</w:pPr>
          </w:p>
        </w:tc>
      </w:tr>
      <w:tr w14:paraId="661E9A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7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C622A5">
            <w:pPr>
              <w:widowControl/>
              <w:jc w:val="center"/>
              <w:textAlignment w:val="bottom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3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A06B5E">
            <w:pPr>
              <w:widowControl/>
              <w:jc w:val="left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ZN-BV-3×2.5mm2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DF635F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54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492CD2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总降电源箱</w:t>
            </w:r>
            <w:r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  <w:t>ZM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AE55EA">
            <w:pPr>
              <w:widowControl/>
              <w:jc w:val="left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厕所电源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141B84">
            <w:pPr>
              <w:jc w:val="center"/>
              <w:rPr>
                <w:rFonts w:ascii="宋体" w:hAnsi="宋体" w:eastAsia="宋体" w:cs="宋体"/>
                <w:color w:val="FF0000"/>
                <w:sz w:val="18"/>
                <w:szCs w:val="18"/>
              </w:rPr>
            </w:pPr>
          </w:p>
        </w:tc>
      </w:tr>
      <w:tr w14:paraId="777F40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7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7FD872">
            <w:pPr>
              <w:widowControl/>
              <w:jc w:val="center"/>
              <w:textAlignment w:val="bottom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4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3B48CB">
            <w:pPr>
              <w:widowControl/>
              <w:jc w:val="left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ZN-BV-3×2.5mm2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F4DD5E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23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90E29F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总降电源箱</w:t>
            </w:r>
            <w:r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  <w:t>ZM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60CB7E">
            <w:pPr>
              <w:widowControl/>
              <w:jc w:val="left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电容室照明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C3BEE7">
            <w:pPr>
              <w:jc w:val="center"/>
              <w:rPr>
                <w:rFonts w:ascii="宋体" w:hAnsi="宋体" w:eastAsia="宋体" w:cs="宋体"/>
                <w:color w:val="FF0000"/>
                <w:sz w:val="18"/>
                <w:szCs w:val="18"/>
              </w:rPr>
            </w:pPr>
          </w:p>
        </w:tc>
      </w:tr>
      <w:tr w14:paraId="558311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7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1EC870">
            <w:pPr>
              <w:widowControl/>
              <w:jc w:val="center"/>
              <w:textAlignment w:val="bottom"/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5974AB">
            <w:pPr>
              <w:widowControl/>
              <w:jc w:val="left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ZN-BV-3×2.5mm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vertAlign w:val="superscript"/>
                <w:lang w:bidi="ar"/>
              </w:rPr>
              <w:t>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A30C6A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41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6CB914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总降电源箱</w:t>
            </w:r>
            <w:r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  <w:t>ZM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88FFD0">
            <w:pPr>
              <w:widowControl/>
              <w:jc w:val="left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总降普通照明1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EC1600">
            <w:pPr>
              <w:jc w:val="center"/>
              <w:rPr>
                <w:rFonts w:ascii="宋体" w:hAnsi="宋体" w:eastAsia="宋体" w:cs="宋体"/>
                <w:color w:val="FF0000"/>
                <w:sz w:val="18"/>
                <w:szCs w:val="18"/>
              </w:rPr>
            </w:pPr>
          </w:p>
        </w:tc>
      </w:tr>
      <w:tr w14:paraId="7EDF54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7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14C911">
            <w:pPr>
              <w:widowControl/>
              <w:jc w:val="center"/>
              <w:textAlignment w:val="bottom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A966E7">
            <w:pPr>
              <w:widowControl/>
              <w:jc w:val="left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ZN-BV-3×2.5mm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vertAlign w:val="superscript"/>
                <w:lang w:bidi="ar"/>
              </w:rPr>
              <w:t>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757830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52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C72BA0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应急灯配电箱</w:t>
            </w:r>
            <w:r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  <w:t>ALE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174D56">
            <w:pPr>
              <w:widowControl/>
              <w:jc w:val="left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总降普通照明2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D7BE2D">
            <w:pPr>
              <w:jc w:val="center"/>
              <w:rPr>
                <w:rFonts w:ascii="宋体" w:hAnsi="宋体" w:eastAsia="宋体" w:cs="宋体"/>
                <w:color w:val="FF0000"/>
                <w:sz w:val="18"/>
                <w:szCs w:val="18"/>
              </w:rPr>
            </w:pPr>
          </w:p>
        </w:tc>
      </w:tr>
      <w:tr w14:paraId="32971E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7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9FDB23">
            <w:pPr>
              <w:widowControl/>
              <w:jc w:val="center"/>
              <w:textAlignment w:val="bottom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B157AD">
            <w:pPr>
              <w:widowControl/>
              <w:jc w:val="left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ZN-BV-3×4mm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vertAlign w:val="superscript"/>
                <w:lang w:bidi="ar"/>
              </w:rPr>
              <w:t>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011DCE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84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E45554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总降电源箱</w:t>
            </w:r>
            <w:r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  <w:t>ZM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1C63AE">
            <w:pPr>
              <w:widowControl/>
              <w:jc w:val="left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插座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28D3B2">
            <w:pPr>
              <w:jc w:val="center"/>
              <w:rPr>
                <w:rFonts w:ascii="宋体" w:hAnsi="宋体" w:eastAsia="宋体" w:cs="宋体"/>
                <w:color w:val="FF0000"/>
                <w:sz w:val="18"/>
                <w:szCs w:val="18"/>
              </w:rPr>
            </w:pPr>
          </w:p>
        </w:tc>
      </w:tr>
      <w:tr w14:paraId="6DAD8C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7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4FDFA8">
            <w:pPr>
              <w:widowControl/>
              <w:jc w:val="center"/>
              <w:textAlignment w:val="bottom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6D1D9D">
            <w:pPr>
              <w:widowControl/>
              <w:jc w:val="left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ZN-BV-3×2.5mm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vertAlign w:val="superscript"/>
                <w:lang w:bidi="ar"/>
              </w:rPr>
              <w:t>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865EB6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39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17B307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总降电源箱</w:t>
            </w:r>
            <w:r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  <w:t>ZM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615395">
            <w:pPr>
              <w:widowControl/>
              <w:jc w:val="left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门禁电源箱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F398CF">
            <w:pPr>
              <w:jc w:val="center"/>
              <w:rPr>
                <w:rFonts w:ascii="宋体" w:hAnsi="宋体" w:eastAsia="宋体" w:cs="宋体"/>
                <w:color w:val="FF0000"/>
                <w:sz w:val="18"/>
                <w:szCs w:val="18"/>
              </w:rPr>
            </w:pPr>
          </w:p>
        </w:tc>
      </w:tr>
      <w:tr w14:paraId="32696F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7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A472B6">
            <w:pPr>
              <w:widowControl/>
              <w:jc w:val="center"/>
              <w:textAlignment w:val="bottom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9DCC8C">
            <w:pPr>
              <w:widowControl/>
              <w:jc w:val="left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ZN-BV-3×10mm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vertAlign w:val="superscript"/>
                <w:lang w:bidi="ar"/>
              </w:rPr>
              <w:t>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1673E4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47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39315B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总降电源箱</w:t>
            </w:r>
            <w:r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  <w:t>ZM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1B73AD">
            <w:pPr>
              <w:widowControl/>
              <w:jc w:val="left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机器人电源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7A3BCC">
            <w:pPr>
              <w:jc w:val="center"/>
              <w:rPr>
                <w:rFonts w:ascii="宋体" w:hAnsi="宋体" w:eastAsia="宋体" w:cs="宋体"/>
                <w:color w:val="FF0000"/>
                <w:sz w:val="18"/>
                <w:szCs w:val="18"/>
              </w:rPr>
            </w:pPr>
          </w:p>
        </w:tc>
      </w:tr>
      <w:tr w14:paraId="414CE2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7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DEF801">
            <w:pPr>
              <w:widowControl/>
              <w:jc w:val="center"/>
              <w:textAlignment w:val="bottom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A58582">
            <w:pPr>
              <w:widowControl/>
              <w:jc w:val="left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ZN-YJV-0.6/1kV  5×6mm2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B7CB59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51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32BE30">
            <w:pPr>
              <w:widowControl/>
              <w:jc w:val="left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低压配电柜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C68B2A">
            <w:pPr>
              <w:widowControl/>
              <w:jc w:val="left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应急灯配电箱ALE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638D01">
            <w:pPr>
              <w:jc w:val="center"/>
              <w:rPr>
                <w:rFonts w:ascii="宋体" w:hAnsi="宋体" w:eastAsia="宋体" w:cs="宋体"/>
                <w:color w:val="FF0000"/>
                <w:sz w:val="18"/>
                <w:szCs w:val="18"/>
              </w:rPr>
            </w:pPr>
          </w:p>
        </w:tc>
      </w:tr>
      <w:tr w14:paraId="79C2C4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7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3565B5">
            <w:pPr>
              <w:widowControl/>
              <w:jc w:val="center"/>
              <w:textAlignment w:val="bottom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4E54E8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ZN-YJV-0.6/1kV  5×6mm2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D928F5"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35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2CA89B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逆变电源柜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39D137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应急灯配电箱</w:t>
            </w:r>
            <w:r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  <w:t>ALE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D4CB28">
            <w:pPr>
              <w:jc w:val="center"/>
              <w:rPr>
                <w:rFonts w:ascii="宋体" w:hAnsi="宋体" w:eastAsia="宋体" w:cs="宋体"/>
                <w:color w:val="FF0000"/>
                <w:sz w:val="18"/>
                <w:szCs w:val="18"/>
              </w:rPr>
            </w:pPr>
          </w:p>
        </w:tc>
      </w:tr>
      <w:tr w14:paraId="32EDCB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7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D06157">
            <w:pPr>
              <w:widowControl/>
              <w:jc w:val="center"/>
              <w:textAlignment w:val="bottom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E730FA">
            <w:pPr>
              <w:widowControl/>
              <w:jc w:val="left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ZN-YJV-0.6/1kV  5×10mm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vertAlign w:val="superscript"/>
                <w:lang w:bidi="ar"/>
              </w:rPr>
              <w:t>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5476A2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73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A50A01">
            <w:pPr>
              <w:widowControl/>
              <w:jc w:val="left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低压配电柜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E28C8D">
            <w:pPr>
              <w:widowControl/>
              <w:jc w:val="left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电容室空调电源箱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454BBD">
            <w:pPr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</w:p>
        </w:tc>
      </w:tr>
      <w:tr w14:paraId="4815C4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7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D60904">
            <w:pPr>
              <w:widowControl/>
              <w:jc w:val="center"/>
              <w:textAlignment w:val="bottom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2A4B96">
            <w:pPr>
              <w:widowControl/>
              <w:jc w:val="left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ZN-YJV-0.6/1kV  5×10mm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vertAlign w:val="superscript"/>
                <w:lang w:bidi="ar"/>
              </w:rPr>
              <w:t>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059FA0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58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A4696C">
            <w:pPr>
              <w:widowControl/>
              <w:jc w:val="left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低压配电柜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25F88D">
            <w:pPr>
              <w:widowControl/>
              <w:jc w:val="left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空调电源1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14:paraId="2AFE9CA8">
            <w:pPr>
              <w:jc w:val="center"/>
            </w:pPr>
          </w:p>
        </w:tc>
      </w:tr>
      <w:tr w14:paraId="40A551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7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6B5C8B">
            <w:pPr>
              <w:widowControl/>
              <w:jc w:val="center"/>
              <w:textAlignment w:val="bottom"/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834B51">
            <w:pPr>
              <w:widowControl/>
              <w:jc w:val="left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ZN-YJV-0.6/1kV  5×10mm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vertAlign w:val="superscript"/>
                <w:lang w:bidi="ar"/>
              </w:rPr>
              <w:t>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63B10B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59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B0AB2B">
            <w:pPr>
              <w:widowControl/>
              <w:jc w:val="left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低压配电柜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8525B7">
            <w:pPr>
              <w:widowControl/>
              <w:jc w:val="left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空调电源2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14:paraId="20205015">
            <w:pPr>
              <w:jc w:val="center"/>
            </w:pPr>
          </w:p>
        </w:tc>
      </w:tr>
      <w:tr w14:paraId="4C7171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7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0DD273">
            <w:pPr>
              <w:widowControl/>
              <w:jc w:val="center"/>
              <w:textAlignment w:val="bottom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sz w:val="18"/>
                <w:szCs w:val="18"/>
              </w:rPr>
              <w:t>5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3523DD">
            <w:pPr>
              <w:widowControl/>
              <w:jc w:val="left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ZN-YJV-0.6/1kV  5×10mm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vertAlign w:val="superscript"/>
                <w:lang w:bidi="ar"/>
              </w:rPr>
              <w:t>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99A21D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89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3CDEE0">
            <w:pPr>
              <w:widowControl/>
              <w:jc w:val="left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低压配电柜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E35AF3">
            <w:pPr>
              <w:widowControl/>
              <w:jc w:val="left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空调电源3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14:paraId="278D77F0">
            <w:pPr>
              <w:jc w:val="center"/>
            </w:pPr>
          </w:p>
        </w:tc>
      </w:tr>
      <w:tr w14:paraId="2AB0DE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7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1EFF3D">
            <w:pPr>
              <w:widowControl/>
              <w:jc w:val="center"/>
              <w:textAlignment w:val="bottom"/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765F7E">
            <w:pPr>
              <w:widowControl/>
              <w:jc w:val="left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ZN-YJV-0.6/1kV  5×10mm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vertAlign w:val="superscript"/>
                <w:lang w:bidi="ar"/>
              </w:rPr>
              <w:t>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4AD73E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77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B99867">
            <w:pPr>
              <w:widowControl/>
              <w:jc w:val="left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低压配电柜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5B6172">
            <w:pPr>
              <w:widowControl/>
              <w:jc w:val="left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空调电源</w:t>
            </w:r>
            <w:r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14:paraId="5EECB7A1">
            <w:pPr>
              <w:jc w:val="center"/>
            </w:pPr>
          </w:p>
        </w:tc>
      </w:tr>
      <w:tr w14:paraId="501E3B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7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80F06A">
            <w:pPr>
              <w:widowControl/>
              <w:jc w:val="center"/>
              <w:textAlignment w:val="bottom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5742DC">
            <w:pPr>
              <w:widowControl/>
              <w:jc w:val="left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ZN-YJV-0.6/1kV  5×6mm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vertAlign w:val="superscript"/>
                <w:lang w:bidi="ar"/>
              </w:rPr>
              <w:t>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D39DA9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72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96B479">
            <w:pPr>
              <w:widowControl/>
              <w:jc w:val="left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低压配电柜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6A470A">
            <w:pPr>
              <w:widowControl/>
              <w:jc w:val="left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bookmarkStart w:id="22" w:name="OLE_LINK3"/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潜水泵</w:t>
            </w:r>
            <w:bookmarkEnd w:id="22"/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控制箱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14:paraId="5CCC6A75">
            <w:pPr>
              <w:jc w:val="center"/>
            </w:pPr>
          </w:p>
        </w:tc>
      </w:tr>
      <w:tr w14:paraId="470206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7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C80CA5">
            <w:pPr>
              <w:widowControl/>
              <w:jc w:val="center"/>
              <w:textAlignment w:val="bottom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sz w:val="18"/>
                <w:szCs w:val="18"/>
              </w:rPr>
              <w:t>8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66BE68">
            <w:pPr>
              <w:widowControl/>
              <w:jc w:val="left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ZR-KVVP 2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×</w:t>
            </w:r>
            <w:r>
              <w:rPr>
                <w:rFonts w:ascii="宋体" w:hAnsi="宋体" w:eastAsia="宋体" w:cs="宋体"/>
                <w:sz w:val="18"/>
                <w:szCs w:val="18"/>
              </w:rPr>
              <w:t>1.5mm</w:t>
            </w:r>
            <w:r>
              <w:rPr>
                <w:rFonts w:ascii="宋体" w:hAnsi="宋体" w:eastAsia="宋体" w:cs="宋体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736084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sz w:val="18"/>
                <w:szCs w:val="18"/>
              </w:rPr>
              <w:t>00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D93462">
            <w:pPr>
              <w:widowControl/>
              <w:jc w:val="left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七氟丙烷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C3AA21">
            <w:pPr>
              <w:widowControl/>
              <w:jc w:val="left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配电室空调电源1</w:t>
            </w:r>
            <w:r>
              <w:rPr>
                <w:rFonts w:ascii="宋体" w:hAnsi="宋体" w:eastAsia="宋体" w:cs="宋体"/>
                <w:sz w:val="18"/>
                <w:szCs w:val="18"/>
              </w:rPr>
              <w:t>~4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333DC4">
            <w:pPr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</w:tr>
      <w:tr w14:paraId="75B365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7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A21360">
            <w:pPr>
              <w:widowControl/>
              <w:jc w:val="center"/>
              <w:textAlignment w:val="bottom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sz w:val="18"/>
                <w:szCs w:val="18"/>
              </w:rPr>
              <w:t>9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665A9A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  <w:t>ZR-KVVP 2×1.5mm</w:t>
            </w:r>
            <w:r>
              <w:rPr>
                <w:rFonts w:ascii="宋体" w:hAnsi="宋体" w:eastAsia="宋体" w:cs="宋体"/>
                <w:kern w:val="0"/>
                <w:sz w:val="18"/>
                <w:szCs w:val="18"/>
                <w:vertAlign w:val="superscript"/>
                <w:lang w:bidi="ar"/>
              </w:rPr>
              <w:t>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2768F4"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  <w:t>00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B14407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七氟丙烷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55AA14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电容室空调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A09843">
            <w:pPr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</w:tr>
      <w:tr w14:paraId="3CE7F8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7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344F3C">
            <w:pPr>
              <w:widowControl/>
              <w:jc w:val="center"/>
              <w:textAlignment w:val="bottom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sz w:val="18"/>
                <w:szCs w:val="18"/>
              </w:rPr>
              <w:t>0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37BCB5">
            <w:pPr>
              <w:widowControl/>
              <w:jc w:val="left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ZN-BV-3×2.5mm</w:t>
            </w:r>
            <w:r>
              <w:rPr>
                <w:rFonts w:hint="eastAsia" w:ascii="宋体" w:hAnsi="宋体" w:eastAsia="宋体" w:cs="宋体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4AC37D"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79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A140E9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应急灯配电箱</w:t>
            </w:r>
            <w:r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  <w:t>ALE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AE3B98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总降/电容应急照明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59CC58">
            <w:pPr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</w:tr>
      <w:tr w14:paraId="583570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7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735292">
            <w:pPr>
              <w:widowControl/>
              <w:jc w:val="center"/>
              <w:textAlignment w:val="bottom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sz w:val="18"/>
                <w:szCs w:val="18"/>
              </w:rPr>
              <w:t>1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746EA9">
            <w:pPr>
              <w:widowControl/>
              <w:jc w:val="left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ZN-BV-3×2.5mm</w:t>
            </w:r>
            <w:r>
              <w:rPr>
                <w:rFonts w:hint="eastAsia" w:ascii="宋体" w:hAnsi="宋体" w:eastAsia="宋体" w:cs="宋体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02ABB5"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85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F2B4A7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应急灯配电箱</w:t>
            </w:r>
            <w:r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  <w:t>ALE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1543E8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疏散/出口指示灯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E5C6DA">
            <w:pPr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</w:tr>
      <w:tr w14:paraId="29873B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7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36CD2B">
            <w:pPr>
              <w:widowControl/>
              <w:jc w:val="center"/>
              <w:textAlignment w:val="bottom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sz w:val="18"/>
                <w:szCs w:val="18"/>
              </w:rPr>
              <w:t>2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C638D0">
            <w:pPr>
              <w:widowControl/>
              <w:jc w:val="left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ZN-YJV-0.6/1kV  5×16mm</w:t>
            </w:r>
            <w:r>
              <w:rPr>
                <w:rFonts w:hint="eastAsia" w:ascii="宋体" w:hAnsi="宋体" w:eastAsia="宋体" w:cs="宋体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1DBB1E"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63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987CC7">
            <w:pPr>
              <w:widowControl/>
              <w:jc w:val="left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低压配电柜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43EBCB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轴流排风机1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B5D543">
            <w:pPr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</w:tr>
      <w:tr w14:paraId="4348C1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7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25A9A8">
            <w:pPr>
              <w:widowControl/>
              <w:jc w:val="center"/>
              <w:textAlignment w:val="bottom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sz w:val="18"/>
                <w:szCs w:val="18"/>
              </w:rPr>
              <w:t>3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8396EB">
            <w:pPr>
              <w:widowControl/>
              <w:jc w:val="left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ZN-YJV-0.6/1kV  5×16mm</w:t>
            </w:r>
            <w:r>
              <w:rPr>
                <w:rFonts w:hint="eastAsia" w:ascii="宋体" w:hAnsi="宋体" w:eastAsia="宋体" w:cs="宋体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3EF981"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77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0CB44D">
            <w:pPr>
              <w:widowControl/>
              <w:jc w:val="left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低压配电柜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976998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轴流排风机</w:t>
            </w:r>
            <w:r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3AC7FE">
            <w:pPr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</w:tr>
      <w:tr w14:paraId="54EF6B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7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46FDA7">
            <w:pPr>
              <w:widowControl/>
              <w:jc w:val="center"/>
              <w:textAlignment w:val="bottom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sz w:val="18"/>
                <w:szCs w:val="18"/>
              </w:rPr>
              <w:t>4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5B38CE">
            <w:pPr>
              <w:widowControl/>
              <w:jc w:val="left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ZN-YJV-0.6/1kV  5×16mm</w:t>
            </w:r>
            <w:r>
              <w:rPr>
                <w:rFonts w:hint="eastAsia" w:ascii="宋体" w:hAnsi="宋体" w:eastAsia="宋体" w:cs="宋体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64FB00"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64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F21CCA">
            <w:pPr>
              <w:widowControl/>
              <w:jc w:val="left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低压配电柜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713BDB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轴流排风机</w:t>
            </w:r>
            <w:r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D2788D">
            <w:pPr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</w:tr>
      <w:tr w14:paraId="427C6A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7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06B98E">
            <w:pPr>
              <w:widowControl/>
              <w:jc w:val="center"/>
              <w:textAlignment w:val="bottom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sz w:val="18"/>
                <w:szCs w:val="18"/>
              </w:rPr>
              <w:t>5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EE547C">
            <w:pPr>
              <w:widowControl/>
              <w:jc w:val="left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ZN-YJV-0.6/1kV  5×16mm</w:t>
            </w:r>
            <w:r>
              <w:rPr>
                <w:rFonts w:hint="eastAsia" w:ascii="宋体" w:hAnsi="宋体" w:eastAsia="宋体" w:cs="宋体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EE222A"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78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D9DB68">
            <w:pPr>
              <w:widowControl/>
              <w:jc w:val="left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低压配电柜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CC663D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轴流排风机</w:t>
            </w:r>
            <w:r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89C55D">
            <w:pPr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</w:tr>
      <w:tr w14:paraId="1C9538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7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E6FF1D">
            <w:pPr>
              <w:widowControl/>
              <w:jc w:val="center"/>
              <w:textAlignment w:val="bottom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sz w:val="18"/>
                <w:szCs w:val="18"/>
              </w:rPr>
              <w:t>6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22E55A">
            <w:pPr>
              <w:widowControl/>
              <w:jc w:val="left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ZN-YJV-0.6/1kV  5×16mm</w:t>
            </w:r>
            <w:r>
              <w:rPr>
                <w:rFonts w:hint="eastAsia" w:ascii="宋体" w:hAnsi="宋体" w:eastAsia="宋体" w:cs="宋体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86476E"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72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A2C131">
            <w:pPr>
              <w:widowControl/>
              <w:jc w:val="left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低压配电柜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366666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电容室轴流排风机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02589C">
            <w:pPr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</w:tr>
      <w:tr w14:paraId="27EEC5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7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48B17F">
            <w:pPr>
              <w:widowControl/>
              <w:jc w:val="center"/>
              <w:textAlignment w:val="bottom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sz w:val="18"/>
                <w:szCs w:val="18"/>
              </w:rPr>
              <w:t>7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FE5828">
            <w:pPr>
              <w:widowControl/>
              <w:jc w:val="left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ZN-BV-3×2.5mm2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8F6D94"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F5022E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应急灯配电箱</w:t>
            </w:r>
            <w:r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  <w:t>ALE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ADC152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七氟丙烷、报警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78C2C1">
            <w:pPr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预留、备用</w:t>
            </w:r>
          </w:p>
        </w:tc>
      </w:tr>
      <w:bookmarkEnd w:id="20"/>
      <w:bookmarkEnd w:id="21"/>
    </w:tbl>
    <w:p w14:paraId="491D734D">
      <w:pPr>
        <w:snapToGrid w:val="0"/>
        <w:spacing w:line="276" w:lineRule="auto"/>
        <w:rPr>
          <w:rFonts w:ascii="宋体" w:hAnsi="宋体" w:eastAsia="宋体"/>
          <w:b/>
          <w:sz w:val="18"/>
          <w:szCs w:val="18"/>
        </w:rPr>
      </w:pPr>
    </w:p>
    <w:p w14:paraId="6709723D">
      <w:pPr>
        <w:snapToGrid w:val="0"/>
        <w:spacing w:line="276" w:lineRule="auto"/>
        <w:rPr>
          <w:rFonts w:ascii="宋体" w:hAnsi="宋体" w:eastAsia="宋体"/>
          <w:b/>
          <w:sz w:val="18"/>
          <w:szCs w:val="18"/>
        </w:rPr>
      </w:pPr>
    </w:p>
    <w:p w14:paraId="7F667092">
      <w:pPr>
        <w:snapToGrid w:val="0"/>
        <w:spacing w:line="276" w:lineRule="auto"/>
        <w:rPr>
          <w:rFonts w:ascii="宋体" w:hAnsi="宋体" w:eastAsia="宋体"/>
          <w:b/>
          <w:sz w:val="18"/>
          <w:szCs w:val="18"/>
        </w:rPr>
      </w:pPr>
    </w:p>
    <w:p w14:paraId="5E606725">
      <w:pPr>
        <w:snapToGrid w:val="0"/>
        <w:spacing w:line="276" w:lineRule="auto"/>
        <w:rPr>
          <w:rFonts w:ascii="宋体" w:hAnsi="宋体" w:eastAsia="宋体"/>
          <w:b/>
          <w:sz w:val="18"/>
          <w:szCs w:val="18"/>
        </w:rPr>
      </w:pPr>
    </w:p>
    <w:p w14:paraId="21FD7338">
      <w:pPr>
        <w:snapToGrid w:val="0"/>
        <w:spacing w:line="276" w:lineRule="auto"/>
        <w:rPr>
          <w:rFonts w:ascii="宋体" w:hAnsi="宋体" w:eastAsia="宋体"/>
          <w:b/>
          <w:sz w:val="18"/>
          <w:szCs w:val="18"/>
        </w:rPr>
      </w:pPr>
    </w:p>
    <w:p w14:paraId="613655FB">
      <w:pPr>
        <w:snapToGrid w:val="0"/>
        <w:spacing w:line="276" w:lineRule="auto"/>
        <w:rPr>
          <w:rFonts w:ascii="宋体" w:hAnsi="宋体" w:eastAsia="宋体"/>
          <w:b/>
          <w:sz w:val="18"/>
          <w:szCs w:val="18"/>
        </w:rPr>
      </w:pPr>
    </w:p>
    <w:p w14:paraId="41023485">
      <w:pPr>
        <w:snapToGrid w:val="0"/>
        <w:spacing w:line="276" w:lineRule="auto"/>
        <w:rPr>
          <w:rFonts w:ascii="宋体" w:hAnsi="宋体" w:eastAsia="宋体"/>
          <w:b/>
          <w:sz w:val="18"/>
          <w:szCs w:val="18"/>
        </w:rPr>
      </w:pPr>
    </w:p>
    <w:p w14:paraId="3DB1ACA4">
      <w:pPr>
        <w:snapToGrid w:val="0"/>
        <w:spacing w:line="276" w:lineRule="auto"/>
        <w:rPr>
          <w:rFonts w:ascii="宋体" w:hAnsi="宋体" w:eastAsia="宋体"/>
          <w:b/>
          <w:sz w:val="18"/>
          <w:szCs w:val="18"/>
        </w:rPr>
      </w:pPr>
    </w:p>
    <w:p w14:paraId="175A634D">
      <w:pPr>
        <w:snapToGrid w:val="0"/>
        <w:spacing w:line="276" w:lineRule="auto"/>
        <w:rPr>
          <w:rFonts w:ascii="宋体" w:hAnsi="宋体" w:eastAsia="宋体"/>
          <w:b/>
          <w:sz w:val="18"/>
          <w:szCs w:val="18"/>
        </w:rPr>
      </w:pPr>
    </w:p>
    <w:p w14:paraId="775B383F">
      <w:pPr>
        <w:snapToGrid w:val="0"/>
        <w:spacing w:line="276" w:lineRule="auto"/>
        <w:rPr>
          <w:rFonts w:ascii="宋体" w:hAnsi="宋体" w:eastAsia="宋体"/>
          <w:b/>
          <w:sz w:val="18"/>
          <w:szCs w:val="18"/>
        </w:rPr>
      </w:pPr>
    </w:p>
    <w:p w14:paraId="37BBD589">
      <w:pPr>
        <w:snapToGrid w:val="0"/>
        <w:spacing w:line="276" w:lineRule="auto"/>
        <w:rPr>
          <w:rFonts w:ascii="宋体" w:hAnsi="宋体" w:eastAsia="宋体"/>
          <w:b/>
          <w:sz w:val="18"/>
          <w:szCs w:val="18"/>
        </w:rPr>
      </w:pPr>
    </w:p>
    <w:p w14:paraId="7DF42FEA">
      <w:pPr>
        <w:snapToGrid w:val="0"/>
        <w:spacing w:line="276" w:lineRule="auto"/>
        <w:rPr>
          <w:rFonts w:ascii="宋体" w:hAnsi="宋体" w:eastAsia="宋体"/>
          <w:b/>
          <w:sz w:val="18"/>
          <w:szCs w:val="18"/>
        </w:rPr>
      </w:pPr>
      <w:r>
        <w:rPr>
          <w:rFonts w:hint="eastAsia" w:ascii="宋体" w:hAnsi="宋体" w:eastAsia="宋体"/>
          <w:b/>
          <w:sz w:val="18"/>
          <w:szCs w:val="18"/>
        </w:rPr>
        <w:t>附件二：</w:t>
      </w:r>
      <w:r>
        <w:rPr>
          <w:rFonts w:ascii="宋体" w:hAnsi="宋体" w:eastAsia="宋体"/>
          <w:sz w:val="18"/>
          <w:szCs w:val="18"/>
        </w:rPr>
        <w:t xml:space="preserve"> </w:t>
      </w:r>
      <w:r>
        <w:rPr>
          <w:rFonts w:hint="eastAsia" w:ascii="宋体" w:hAnsi="宋体" w:eastAsia="宋体"/>
          <w:b/>
          <w:sz w:val="18"/>
          <w:szCs w:val="18"/>
        </w:rPr>
        <w:t>照明系统设计说明</w:t>
      </w:r>
      <w:bookmarkEnd w:id="19"/>
    </w:p>
    <w:p w14:paraId="5A99D815">
      <w:pPr>
        <w:pStyle w:val="8"/>
        <w:numPr>
          <w:ilvl w:val="0"/>
          <w:numId w:val="4"/>
        </w:numPr>
        <w:snapToGrid w:val="0"/>
        <w:spacing w:line="276" w:lineRule="auto"/>
        <w:ind w:firstLineChars="0"/>
        <w:jc w:val="left"/>
        <w:rPr>
          <w:rFonts w:ascii="宋体" w:hAnsi="宋体" w:eastAsia="宋体"/>
          <w:sz w:val="18"/>
          <w:szCs w:val="18"/>
        </w:rPr>
      </w:pPr>
      <w:r>
        <w:rPr>
          <w:rFonts w:ascii="宋体" w:hAnsi="宋体" w:eastAsia="宋体"/>
          <w:sz w:val="18"/>
          <w:szCs w:val="18"/>
        </w:rPr>
        <w:t>从</w:t>
      </w:r>
      <w:r>
        <w:rPr>
          <w:rFonts w:hint="eastAsia" w:ascii="宋体" w:hAnsi="宋体" w:eastAsia="宋体"/>
          <w:sz w:val="18"/>
          <w:szCs w:val="18"/>
        </w:rPr>
        <w:t>热电站新P</w:t>
      </w:r>
      <w:r>
        <w:rPr>
          <w:rFonts w:ascii="宋体" w:hAnsi="宋体" w:eastAsia="宋体"/>
          <w:sz w:val="18"/>
          <w:szCs w:val="18"/>
        </w:rPr>
        <w:t>C</w:t>
      </w:r>
      <w:r>
        <w:rPr>
          <w:rFonts w:hint="eastAsia" w:ascii="宋体" w:hAnsi="宋体" w:eastAsia="宋体"/>
          <w:sz w:val="18"/>
          <w:szCs w:val="18"/>
        </w:rPr>
        <w:t>新敷设电缆至新建</w:t>
      </w:r>
      <w:r>
        <w:rPr>
          <w:rFonts w:ascii="宋体" w:hAnsi="宋体" w:eastAsia="宋体"/>
          <w:sz w:val="18"/>
          <w:szCs w:val="18"/>
        </w:rPr>
        <w:t>0.4kV低压开关柜。路径方案：</w:t>
      </w:r>
      <w:r>
        <w:rPr>
          <w:rFonts w:hint="eastAsia" w:ascii="宋体" w:hAnsi="宋体" w:eastAsia="宋体"/>
          <w:sz w:val="18"/>
          <w:szCs w:val="18"/>
        </w:rPr>
        <w:t>从热电站新</w:t>
      </w:r>
      <w:r>
        <w:rPr>
          <w:rFonts w:ascii="宋体" w:hAnsi="宋体" w:eastAsia="宋体"/>
          <w:sz w:val="18"/>
          <w:szCs w:val="18"/>
        </w:rPr>
        <w:t>PC</w:t>
      </w:r>
      <w:r>
        <w:rPr>
          <w:rFonts w:hint="eastAsia" w:ascii="宋体" w:hAnsi="宋体" w:eastAsia="宋体"/>
          <w:sz w:val="18"/>
          <w:szCs w:val="18"/>
        </w:rPr>
        <w:t>低压出口柜</w:t>
      </w:r>
      <w:r>
        <w:rPr>
          <w:rFonts w:ascii="宋体" w:hAnsi="宋体" w:eastAsia="宋体"/>
          <w:sz w:val="18"/>
          <w:szCs w:val="18"/>
        </w:rPr>
        <w:t>新出电缆沿</w:t>
      </w:r>
      <w:r>
        <w:rPr>
          <w:rFonts w:hint="eastAsia" w:ascii="宋体" w:hAnsi="宋体" w:eastAsia="宋体"/>
          <w:sz w:val="18"/>
          <w:szCs w:val="18"/>
        </w:rPr>
        <w:t>汽机0米层</w:t>
      </w:r>
      <w:r>
        <w:rPr>
          <w:rFonts w:ascii="宋体" w:hAnsi="宋体" w:eastAsia="宋体"/>
          <w:sz w:val="18"/>
          <w:szCs w:val="18"/>
        </w:rPr>
        <w:t>已建电缆沟至电气</w:t>
      </w:r>
      <w:r>
        <w:rPr>
          <w:rFonts w:hint="eastAsia" w:ascii="宋体" w:hAnsi="宋体" w:eastAsia="宋体"/>
          <w:sz w:val="18"/>
          <w:szCs w:val="18"/>
        </w:rPr>
        <w:t>竖井，由电气竖井转入二楼电缆夹层桥架，经电缆夹层桥架引入三楼</w:t>
      </w:r>
      <w:r>
        <w:rPr>
          <w:rFonts w:ascii="宋体" w:hAnsi="宋体" w:eastAsia="宋体"/>
          <w:sz w:val="18"/>
          <w:szCs w:val="18"/>
        </w:rPr>
        <w:t>0.4kV低压开关柜柜底预留进线口位</w:t>
      </w:r>
      <w:r>
        <w:rPr>
          <w:rFonts w:hint="eastAsia" w:ascii="宋体" w:hAnsi="宋体" w:eastAsia="宋体"/>
          <w:sz w:val="18"/>
          <w:szCs w:val="18"/>
        </w:rPr>
        <w:t>置，再从新建</w:t>
      </w:r>
      <w:r>
        <w:rPr>
          <w:rFonts w:ascii="宋体" w:hAnsi="宋体" w:eastAsia="宋体"/>
          <w:sz w:val="18"/>
          <w:szCs w:val="18"/>
        </w:rPr>
        <w:t>0.4kV低压开关柜新出电缆，新出电缆经0.4kV低压开关柜柜底预留出线口位置转入二楼电缆</w:t>
      </w:r>
      <w:r>
        <w:rPr>
          <w:rFonts w:hint="eastAsia" w:ascii="宋体" w:hAnsi="宋体" w:eastAsia="宋体"/>
          <w:sz w:val="18"/>
          <w:szCs w:val="18"/>
        </w:rPr>
        <w:t>夹层，沿电缆桥架敷设至电气竖井，再从电气竖井下至总降配电室经电缆沟，从电缆沟经新建镀锌钢管</w:t>
      </w:r>
      <w:r>
        <w:rPr>
          <w:rFonts w:hint="eastAsia" w:ascii="宋体" w:hAnsi="宋体" w:eastAsia="宋体"/>
          <w:sz w:val="18"/>
          <w:szCs w:val="18"/>
          <w:lang w:eastAsia="zh-CN"/>
        </w:rPr>
        <w:t>引申</w:t>
      </w:r>
      <w:r>
        <w:rPr>
          <w:rFonts w:hint="eastAsia" w:ascii="宋体" w:hAnsi="宋体" w:eastAsia="宋体"/>
          <w:sz w:val="18"/>
          <w:szCs w:val="18"/>
        </w:rPr>
        <w:t>敷设电缆至各用电点。</w:t>
      </w:r>
    </w:p>
    <w:p w14:paraId="57918858">
      <w:pPr>
        <w:pStyle w:val="8"/>
        <w:numPr>
          <w:ilvl w:val="0"/>
          <w:numId w:val="4"/>
        </w:numPr>
        <w:snapToGrid w:val="0"/>
        <w:spacing w:line="276" w:lineRule="auto"/>
        <w:ind w:firstLineChars="0"/>
        <w:jc w:val="left"/>
        <w:rPr>
          <w:rFonts w:ascii="宋体" w:hAnsi="宋体" w:eastAsia="宋体"/>
          <w:sz w:val="18"/>
          <w:szCs w:val="18"/>
        </w:rPr>
      </w:pPr>
      <w:r>
        <w:rPr>
          <w:rFonts w:ascii="宋体" w:hAnsi="宋体" w:eastAsia="宋体"/>
          <w:sz w:val="18"/>
          <w:szCs w:val="18"/>
        </w:rPr>
        <w:t>本次改造</w:t>
      </w:r>
      <w:r>
        <w:rPr>
          <w:rFonts w:hint="eastAsia" w:ascii="宋体" w:hAnsi="宋体" w:eastAsia="宋体"/>
          <w:sz w:val="18"/>
          <w:szCs w:val="18"/>
        </w:rPr>
        <w:t>电容室空调电源、排风机电源、应急电源、总降电源全部由新建</w:t>
      </w:r>
      <w:r>
        <w:rPr>
          <w:rFonts w:ascii="宋体" w:hAnsi="宋体" w:eastAsia="宋体"/>
          <w:sz w:val="18"/>
          <w:szCs w:val="18"/>
        </w:rPr>
        <w:t>0.4kV低压开关供出。</w:t>
      </w:r>
    </w:p>
    <w:p w14:paraId="05B8D320">
      <w:pPr>
        <w:pStyle w:val="8"/>
        <w:numPr>
          <w:ilvl w:val="0"/>
          <w:numId w:val="4"/>
        </w:numPr>
        <w:snapToGrid w:val="0"/>
        <w:spacing w:line="276" w:lineRule="auto"/>
        <w:ind w:firstLineChars="0"/>
        <w:jc w:val="left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本次新增</w:t>
      </w:r>
      <w:r>
        <w:rPr>
          <w:rFonts w:ascii="宋体" w:hAnsi="宋体" w:eastAsia="宋体"/>
          <w:sz w:val="18"/>
          <w:szCs w:val="18"/>
        </w:rPr>
        <w:t>1台应急灯配电箱ALE，采用双电源供电，主供引自0.4kV低压开关柜，</w:t>
      </w:r>
      <w:r>
        <w:rPr>
          <w:rFonts w:hint="eastAsia" w:ascii="宋体" w:hAnsi="宋体" w:eastAsia="宋体"/>
          <w:sz w:val="18"/>
          <w:szCs w:val="18"/>
        </w:rPr>
        <w:t>备供引自三楼控制室逆变电源。供事故照明及疏散指示灯。</w:t>
      </w:r>
    </w:p>
    <w:p w14:paraId="53A478FB">
      <w:pPr>
        <w:pStyle w:val="8"/>
        <w:numPr>
          <w:ilvl w:val="0"/>
          <w:numId w:val="4"/>
        </w:numPr>
        <w:snapToGrid w:val="0"/>
        <w:spacing w:line="276" w:lineRule="auto"/>
        <w:ind w:firstLineChars="0"/>
        <w:jc w:val="left"/>
        <w:rPr>
          <w:rFonts w:ascii="宋体" w:hAnsi="宋体" w:eastAsia="宋体"/>
          <w:sz w:val="18"/>
          <w:szCs w:val="18"/>
        </w:rPr>
      </w:pPr>
      <w:r>
        <w:rPr>
          <w:rFonts w:ascii="宋体" w:hAnsi="宋体" w:eastAsia="宋体"/>
          <w:sz w:val="18"/>
          <w:szCs w:val="18"/>
        </w:rPr>
        <w:t>本次拆除原配电室内照明电源箱2台、电容室空调电源箱1</w:t>
      </w:r>
      <w:r>
        <w:rPr>
          <w:rFonts w:hint="eastAsia" w:ascii="宋体" w:hAnsi="宋体" w:eastAsia="宋体"/>
          <w:sz w:val="18"/>
          <w:szCs w:val="18"/>
        </w:rPr>
        <w:t>台、检修电源箱</w:t>
      </w:r>
      <w:r>
        <w:rPr>
          <w:rFonts w:ascii="宋体" w:hAnsi="宋体" w:eastAsia="宋体"/>
          <w:sz w:val="18"/>
          <w:szCs w:val="18"/>
        </w:rPr>
        <w:t>1台、门禁防水系统控制箱1台，单管LED灯15盏，应急照明灯6盏等，新增1台</w:t>
      </w:r>
      <w:r>
        <w:rPr>
          <w:rFonts w:hint="eastAsia" w:ascii="宋体" w:hAnsi="宋体" w:eastAsia="宋体"/>
          <w:sz w:val="18"/>
          <w:szCs w:val="18"/>
        </w:rPr>
        <w:t>总降电源箱</w:t>
      </w:r>
      <w:r>
        <w:rPr>
          <w:rFonts w:ascii="宋体" w:hAnsi="宋体" w:eastAsia="宋体"/>
          <w:sz w:val="18"/>
          <w:szCs w:val="18"/>
        </w:rPr>
        <w:t>ZM，将照明电</w:t>
      </w:r>
      <w:r>
        <w:rPr>
          <w:rFonts w:hint="eastAsia" w:ascii="宋体" w:hAnsi="宋体" w:eastAsia="宋体"/>
          <w:sz w:val="18"/>
          <w:szCs w:val="18"/>
        </w:rPr>
        <w:t>源、插座电源、门禁电源、机器人电源等从此处供出。</w:t>
      </w:r>
    </w:p>
    <w:p w14:paraId="517C3020">
      <w:pPr>
        <w:pStyle w:val="8"/>
        <w:numPr>
          <w:ilvl w:val="0"/>
          <w:numId w:val="4"/>
        </w:numPr>
        <w:snapToGrid w:val="0"/>
        <w:spacing w:line="276" w:lineRule="auto"/>
        <w:ind w:firstLineChars="0"/>
        <w:jc w:val="left"/>
        <w:rPr>
          <w:rFonts w:ascii="宋体" w:hAnsi="宋体" w:eastAsia="宋体"/>
          <w:sz w:val="18"/>
          <w:szCs w:val="18"/>
        </w:rPr>
      </w:pPr>
      <w:r>
        <w:rPr>
          <w:rFonts w:ascii="宋体" w:hAnsi="宋体" w:eastAsia="宋体"/>
          <w:sz w:val="18"/>
          <w:szCs w:val="18"/>
        </w:rPr>
        <w:t>设备安装高度（离地面）按材料清册备注安装高度安装。</w:t>
      </w:r>
    </w:p>
    <w:p w14:paraId="3BBDCF5D">
      <w:pPr>
        <w:pStyle w:val="8"/>
        <w:numPr>
          <w:ilvl w:val="0"/>
          <w:numId w:val="4"/>
        </w:numPr>
        <w:snapToGrid w:val="0"/>
        <w:spacing w:line="276" w:lineRule="auto"/>
        <w:ind w:firstLineChars="0"/>
        <w:jc w:val="left"/>
        <w:rPr>
          <w:rFonts w:ascii="宋体" w:hAnsi="宋体" w:eastAsia="宋体"/>
          <w:sz w:val="18"/>
          <w:szCs w:val="18"/>
        </w:rPr>
      </w:pPr>
      <w:r>
        <w:rPr>
          <w:rFonts w:ascii="宋体" w:hAnsi="宋体" w:eastAsia="宋体"/>
          <w:sz w:val="18"/>
          <w:szCs w:val="18"/>
        </w:rPr>
        <w:t>吊装灯具安装时应尽量避开桥架或母线等设备，不得安装在</w:t>
      </w:r>
      <w:r>
        <w:rPr>
          <w:rFonts w:hint="eastAsia" w:ascii="宋体" w:hAnsi="宋体" w:eastAsia="宋体"/>
          <w:sz w:val="18"/>
          <w:szCs w:val="18"/>
        </w:rPr>
        <w:t>开关柜</w:t>
      </w:r>
      <w:r>
        <w:rPr>
          <w:rFonts w:ascii="宋体" w:hAnsi="宋体" w:eastAsia="宋体"/>
          <w:sz w:val="18"/>
          <w:szCs w:val="18"/>
        </w:rPr>
        <w:t>上方。</w:t>
      </w:r>
    </w:p>
    <w:p w14:paraId="6514AA47">
      <w:pPr>
        <w:pStyle w:val="8"/>
        <w:numPr>
          <w:ilvl w:val="0"/>
          <w:numId w:val="4"/>
        </w:numPr>
        <w:snapToGrid w:val="0"/>
        <w:spacing w:line="276" w:lineRule="auto"/>
        <w:ind w:firstLineChars="0"/>
        <w:jc w:val="left"/>
        <w:rPr>
          <w:rFonts w:ascii="宋体" w:hAnsi="宋体" w:eastAsia="宋体"/>
          <w:sz w:val="18"/>
          <w:szCs w:val="18"/>
        </w:rPr>
      </w:pPr>
      <w:r>
        <w:rPr>
          <w:rFonts w:ascii="宋体" w:hAnsi="宋体" w:eastAsia="宋体"/>
          <w:sz w:val="18"/>
          <w:szCs w:val="18"/>
        </w:rPr>
        <w:t>配电室照度不低于350LX。</w:t>
      </w:r>
    </w:p>
    <w:p w14:paraId="7C553A5F">
      <w:pPr>
        <w:snapToGrid w:val="0"/>
        <w:spacing w:line="276" w:lineRule="auto"/>
        <w:jc w:val="left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注：材料表中所有选用插座为安全型插座</w:t>
      </w:r>
      <w:r>
        <w:rPr>
          <w:rFonts w:hint="eastAsia" w:ascii="宋体" w:hAnsi="宋体" w:eastAsia="宋体"/>
          <w:sz w:val="18"/>
          <w:szCs w:val="18"/>
          <w:lang w:eastAsia="zh-CN"/>
        </w:rPr>
        <w:t>；</w:t>
      </w:r>
      <w:r>
        <w:rPr>
          <w:rFonts w:ascii="宋体" w:hAnsi="宋体" w:eastAsia="宋体"/>
          <w:sz w:val="18"/>
          <w:szCs w:val="18"/>
        </w:rPr>
        <w:t>H为装修完成面标高，施工期间做好防尘隔离，避免影响电力设</w:t>
      </w:r>
      <w:r>
        <w:rPr>
          <w:rFonts w:hint="eastAsia" w:ascii="宋体" w:hAnsi="宋体" w:eastAsia="宋体"/>
          <w:sz w:val="18"/>
          <w:szCs w:val="18"/>
        </w:rPr>
        <w:t>备运行。</w:t>
      </w:r>
    </w:p>
    <w:p w14:paraId="551898C9">
      <w:pPr>
        <w:widowControl/>
        <w:jc w:val="left"/>
        <w:rPr>
          <w:rFonts w:ascii="宋体" w:hAnsi="宋体" w:eastAsia="宋体"/>
          <w:szCs w:val="21"/>
        </w:rPr>
      </w:pPr>
    </w:p>
    <w:p w14:paraId="0576D48B">
      <w:pPr>
        <w:snapToGrid w:val="0"/>
        <w:spacing w:line="276" w:lineRule="auto"/>
        <w:jc w:val="left"/>
        <w:rPr>
          <w:rFonts w:ascii="宋体" w:hAnsi="宋体" w:eastAsia="宋体"/>
          <w:sz w:val="18"/>
          <w:szCs w:val="18"/>
        </w:rPr>
      </w:pPr>
    </w:p>
    <w:p w14:paraId="38CA70E1">
      <w:pPr>
        <w:snapToGrid w:val="0"/>
        <w:spacing w:line="276" w:lineRule="auto"/>
        <w:rPr>
          <w:rFonts w:ascii="宋体" w:hAnsi="宋体" w:eastAsia="宋体"/>
          <w:b/>
          <w:sz w:val="18"/>
          <w:szCs w:val="18"/>
        </w:rPr>
      </w:pPr>
    </w:p>
    <w:p w14:paraId="3F044229">
      <w:pPr>
        <w:snapToGrid w:val="0"/>
        <w:spacing w:line="276" w:lineRule="auto"/>
        <w:rPr>
          <w:rFonts w:ascii="宋体" w:hAnsi="宋体" w:eastAsia="宋体"/>
          <w:b/>
          <w:sz w:val="18"/>
          <w:szCs w:val="18"/>
        </w:rPr>
      </w:pPr>
      <w:r>
        <w:rPr>
          <w:rFonts w:hint="eastAsia" w:ascii="宋体" w:hAnsi="宋体" w:eastAsia="宋体"/>
          <w:b/>
          <w:sz w:val="18"/>
          <w:szCs w:val="18"/>
        </w:rPr>
        <w:t>附件三：</w:t>
      </w:r>
      <w:r>
        <w:rPr>
          <w:rFonts w:ascii="宋体" w:hAnsi="宋体" w:eastAsia="宋体"/>
          <w:sz w:val="18"/>
          <w:szCs w:val="18"/>
        </w:rPr>
        <w:t xml:space="preserve"> </w:t>
      </w:r>
      <w:r>
        <w:rPr>
          <w:rFonts w:hint="eastAsia" w:ascii="宋体" w:hAnsi="宋体" w:eastAsia="宋体"/>
          <w:b/>
          <w:sz w:val="18"/>
          <w:szCs w:val="18"/>
        </w:rPr>
        <w:t>墙面、天棚施工要求</w:t>
      </w:r>
    </w:p>
    <w:p w14:paraId="573D4619">
      <w:pPr>
        <w:snapToGrid w:val="0"/>
        <w:spacing w:line="276" w:lineRule="auto"/>
        <w:jc w:val="left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  <w:lang w:eastAsia="zh-CN"/>
        </w:rPr>
        <w:t>1.</w:t>
      </w:r>
      <w:r>
        <w:rPr>
          <w:rFonts w:hint="eastAsia" w:ascii="宋体" w:hAnsi="宋体" w:eastAsia="宋体"/>
          <w:sz w:val="18"/>
          <w:szCs w:val="18"/>
        </w:rPr>
        <w:t>基层检查及处理</w:t>
      </w:r>
      <w:r>
        <w:rPr>
          <w:rFonts w:ascii="宋体" w:hAnsi="宋体" w:eastAsia="宋体"/>
          <w:sz w:val="18"/>
          <w:szCs w:val="18"/>
        </w:rPr>
        <w:tab/>
      </w:r>
    </w:p>
    <w:p w14:paraId="1449317A">
      <w:pPr>
        <w:snapToGrid w:val="0"/>
        <w:spacing w:line="276" w:lineRule="auto"/>
        <w:ind w:firstLine="360" w:firstLineChars="200"/>
        <w:jc w:val="left"/>
        <w:rPr>
          <w:rFonts w:ascii="宋体" w:hAnsi="宋体" w:eastAsia="宋体"/>
          <w:sz w:val="18"/>
          <w:szCs w:val="18"/>
        </w:rPr>
      </w:pPr>
      <w:r>
        <w:rPr>
          <w:rFonts w:ascii="宋体" w:hAnsi="宋体" w:eastAsia="宋体"/>
          <w:sz w:val="18"/>
          <w:szCs w:val="18"/>
        </w:rPr>
        <w:t>1）打磨清洁前检查基层面：对空鼓区域（≥20cm²必须剔除）及开裂、发霉、起皮、疏松的旧涂层进行彻底铲除，剔除深度至坚实基层。用铲刀或钢丝刷清除墙面浮灰、污物、油污（包含原墙面标识牌拆除）。</w:t>
      </w:r>
    </w:p>
    <w:p w14:paraId="20FDD62A">
      <w:pPr>
        <w:snapToGrid w:val="0"/>
        <w:spacing w:line="276" w:lineRule="auto"/>
        <w:ind w:firstLine="360" w:firstLineChars="200"/>
        <w:jc w:val="left"/>
        <w:rPr>
          <w:rFonts w:ascii="宋体" w:hAnsi="宋体" w:eastAsia="宋体"/>
          <w:sz w:val="18"/>
          <w:szCs w:val="18"/>
        </w:rPr>
      </w:pPr>
      <w:r>
        <w:rPr>
          <w:rFonts w:ascii="宋体" w:hAnsi="宋体" w:eastAsia="宋体"/>
          <w:sz w:val="18"/>
          <w:szCs w:val="18"/>
        </w:rPr>
        <w:t>2）裂缝处理：对宽度≥0.3mm的裂缝，开V型槽（深度≥5mm，角度60°），清理干净后，使用聚合物修补砂浆（SWF101）进行填充、压实、抹平。</w:t>
      </w:r>
    </w:p>
    <w:p w14:paraId="7D12087A">
      <w:pPr>
        <w:snapToGrid w:val="0"/>
        <w:spacing w:line="276" w:lineRule="auto"/>
        <w:ind w:firstLine="360" w:firstLineChars="200"/>
        <w:jc w:val="left"/>
        <w:rPr>
          <w:rFonts w:ascii="宋体" w:hAnsi="宋体" w:eastAsia="宋体"/>
          <w:sz w:val="18"/>
          <w:szCs w:val="18"/>
        </w:rPr>
      </w:pPr>
      <w:r>
        <w:rPr>
          <w:rFonts w:ascii="宋体" w:hAnsi="宋体" w:eastAsia="宋体"/>
          <w:sz w:val="18"/>
          <w:szCs w:val="18"/>
        </w:rPr>
        <w:t>3）打磨：使用手提式打磨机或砂纸架配合中粗度砂纸（建议120目-180目）对墙面进行均匀打磨。目的：清除毛刺、打磨掉残留的旧漆皮或不平整颗粒，破除基层表面的光泽以增强墙漆膜附着力，并最终使墙面整体达到平整、无尖锐凸起、无松散附着物的状态。打磨后，必须使用鸡毛掸子或干净的抹布彻底清除墙面所有打磨产生的粉尘。</w:t>
      </w:r>
    </w:p>
    <w:p w14:paraId="635AD1AF">
      <w:pPr>
        <w:snapToGrid w:val="0"/>
        <w:spacing w:line="276" w:lineRule="auto"/>
        <w:jc w:val="left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  <w:lang w:eastAsia="zh-CN"/>
        </w:rPr>
        <w:t>2.</w:t>
      </w:r>
      <w:r>
        <w:rPr>
          <w:rFonts w:hint="eastAsia" w:ascii="宋体" w:hAnsi="宋体" w:eastAsia="宋体"/>
          <w:sz w:val="18"/>
          <w:szCs w:val="18"/>
        </w:rPr>
        <w:t>涂料施工</w:t>
      </w:r>
      <w:r>
        <w:rPr>
          <w:rFonts w:ascii="宋体" w:hAnsi="宋体" w:eastAsia="宋体"/>
          <w:sz w:val="18"/>
          <w:szCs w:val="18"/>
        </w:rPr>
        <w:tab/>
      </w:r>
    </w:p>
    <w:p w14:paraId="10F84322">
      <w:pPr>
        <w:snapToGrid w:val="0"/>
        <w:spacing w:line="276" w:lineRule="auto"/>
        <w:jc w:val="left"/>
        <w:rPr>
          <w:rFonts w:ascii="宋体" w:hAnsi="宋体" w:eastAsia="宋体"/>
          <w:sz w:val="18"/>
          <w:szCs w:val="18"/>
        </w:rPr>
      </w:pPr>
      <w:r>
        <w:rPr>
          <w:rFonts w:ascii="宋体" w:hAnsi="宋体" w:eastAsia="宋体"/>
          <w:sz w:val="18"/>
          <w:szCs w:val="18"/>
        </w:rPr>
        <w:t>1） 涂刷工艺：本工程采用“两遍面漆”工艺，不刮批腻子层（空鼓修补严格按标准工序实施）。</w:t>
      </w:r>
    </w:p>
    <w:p w14:paraId="738ED165">
      <w:pPr>
        <w:snapToGrid w:val="0"/>
        <w:spacing w:line="276" w:lineRule="auto"/>
        <w:jc w:val="left"/>
        <w:rPr>
          <w:rFonts w:ascii="宋体" w:hAnsi="宋体" w:eastAsia="宋体"/>
          <w:sz w:val="18"/>
          <w:szCs w:val="18"/>
        </w:rPr>
      </w:pPr>
      <w:r>
        <w:rPr>
          <w:rFonts w:ascii="宋体" w:hAnsi="宋体" w:eastAsia="宋体"/>
          <w:sz w:val="18"/>
          <w:szCs w:val="18"/>
        </w:rPr>
        <w:t>2） 施工方法：采用滚筒滚涂为主，阴阳角及边缘处可用毛刷进行预涂。</w:t>
      </w:r>
    </w:p>
    <w:p w14:paraId="4C9DC945">
      <w:pPr>
        <w:snapToGrid w:val="0"/>
        <w:spacing w:line="276" w:lineRule="auto"/>
        <w:jc w:val="left"/>
        <w:rPr>
          <w:rFonts w:ascii="宋体" w:hAnsi="宋体" w:eastAsia="宋体"/>
          <w:sz w:val="18"/>
          <w:szCs w:val="18"/>
        </w:rPr>
      </w:pPr>
      <w:r>
        <w:rPr>
          <w:rFonts w:ascii="宋体" w:hAnsi="宋体" w:eastAsia="宋体"/>
          <w:sz w:val="18"/>
          <w:szCs w:val="18"/>
        </w:rPr>
        <w:t>3） 技术要求：第一遍面漆涂刷完毕后，须待其表干（以不粘手为准）后方可进行第二遍涂刷。涂刷时必须保证涂层厚薄均匀，无漏刷、无流挂、无刷痕、</w:t>
      </w:r>
      <w:r>
        <w:rPr>
          <w:rFonts w:hint="eastAsia" w:ascii="宋体" w:hAnsi="宋体" w:eastAsia="宋体"/>
          <w:sz w:val="18"/>
          <w:szCs w:val="18"/>
          <w:lang w:eastAsia="zh-CN"/>
        </w:rPr>
        <w:t>无气泡</w:t>
      </w:r>
      <w:r>
        <w:rPr>
          <w:rFonts w:ascii="宋体" w:hAnsi="宋体" w:eastAsia="宋体"/>
          <w:sz w:val="18"/>
          <w:szCs w:val="18"/>
        </w:rPr>
        <w:t>。第二遍涂刷的方向应与第一遍相互垂直，以确保涂层均匀、色泽一致。接茬应设置在阴阳角处，或采取其他合理方式，避免出现明显接痕。</w:t>
      </w:r>
    </w:p>
    <w:p w14:paraId="05A5F906">
      <w:pPr>
        <w:snapToGrid w:val="0"/>
        <w:spacing w:line="276" w:lineRule="auto"/>
        <w:jc w:val="left"/>
        <w:rPr>
          <w:rFonts w:ascii="宋体" w:hAnsi="宋体" w:eastAsia="宋体"/>
          <w:sz w:val="18"/>
          <w:szCs w:val="18"/>
        </w:rPr>
      </w:pPr>
      <w:r>
        <w:rPr>
          <w:rFonts w:ascii="宋体" w:hAnsi="宋体" w:eastAsia="宋体"/>
          <w:sz w:val="18"/>
          <w:szCs w:val="18"/>
        </w:rPr>
        <w:t>4）内墙面颜色为全白（茨菇白）；成品库内原墙面标识牌拆除后不恢复；成品库内施工时应有地面保护及卫生清洁措施。</w:t>
      </w:r>
    </w:p>
    <w:p w14:paraId="3167087E">
      <w:pPr>
        <w:snapToGrid w:val="0"/>
        <w:spacing w:line="276" w:lineRule="auto"/>
        <w:jc w:val="left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5）内墙面漆：</w:t>
      </w:r>
      <w:r>
        <w:rPr>
          <w:rFonts w:ascii="宋体" w:hAnsi="宋体" w:eastAsia="宋体"/>
          <w:sz w:val="18"/>
          <w:szCs w:val="18"/>
        </w:rPr>
        <w:t>抗碱防霉型</w:t>
      </w:r>
      <w:r>
        <w:rPr>
          <w:rFonts w:hint="eastAsia" w:ascii="宋体" w:hAnsi="宋体" w:eastAsia="宋体"/>
          <w:sz w:val="18"/>
          <w:szCs w:val="18"/>
        </w:rPr>
        <w:t>。品牌要求：华润</w:t>
      </w:r>
      <w:bookmarkStart w:id="24" w:name="_GoBack"/>
      <w:r>
        <w:rPr>
          <w:rFonts w:hint="eastAsia" w:ascii="宋体" w:hAnsi="宋体" w:eastAsia="宋体"/>
          <w:sz w:val="18"/>
          <w:szCs w:val="18"/>
          <w:lang w:eastAsia="zh-CN"/>
        </w:rPr>
        <w:t>（不</w:t>
      </w:r>
      <w:bookmarkEnd w:id="24"/>
      <w:r>
        <w:rPr>
          <w:rFonts w:hint="eastAsia" w:ascii="宋体" w:hAnsi="宋体" w:eastAsia="宋体"/>
          <w:sz w:val="18"/>
          <w:szCs w:val="18"/>
        </w:rPr>
        <w:t>低于净利芯金标系列）、立邦（不低于净味</w:t>
      </w:r>
      <w:r>
        <w:rPr>
          <w:rFonts w:ascii="宋体" w:hAnsi="宋体" w:eastAsia="宋体"/>
          <w:sz w:val="18"/>
          <w:szCs w:val="18"/>
        </w:rPr>
        <w:t>5合1系列）、三棵树（不低于净味除醛精装系列）或不低于上述三家同档次产品</w:t>
      </w:r>
    </w:p>
    <w:p w14:paraId="22CE2A83">
      <w:pPr>
        <w:snapToGrid w:val="0"/>
        <w:spacing w:line="276" w:lineRule="auto"/>
        <w:jc w:val="left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6）主、辅材料均由乙方供应，需符合相关国家标准及设计要求，有质量合格证明文件、检验报告等。进场时应进行验收，检查材料品种、规格、性能等指标，对防腐涂料等材料抽样复验，其技术指标应符合规范规定。</w:t>
      </w:r>
    </w:p>
    <w:p w14:paraId="07CDA8E6">
      <w:pPr>
        <w:snapToGrid w:val="0"/>
        <w:spacing w:line="276" w:lineRule="auto"/>
        <w:jc w:val="left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7）基层验收：平整度≤</w:t>
      </w:r>
      <w:r>
        <w:rPr>
          <w:rFonts w:ascii="宋体" w:hAnsi="宋体" w:eastAsia="宋体"/>
          <w:sz w:val="18"/>
          <w:szCs w:val="18"/>
        </w:rPr>
        <w:t>4mm，确保基层表面平整，为后续施工提供良好的基础。空鼓率≤5%（单个空鼓面积≤100cm²），避免因空鼓导致涂层脱落。裂缝处理合格率100%，保证基层的防水和结构性能。</w:t>
      </w:r>
      <w:r>
        <w:rPr>
          <w:rFonts w:hint="eastAsia" w:ascii="宋体" w:hAnsi="宋体" w:eastAsia="宋体"/>
          <w:sz w:val="18"/>
          <w:szCs w:val="18"/>
        </w:rPr>
        <w:t>界面剂、腻子、面漆需提供出厂合格证</w:t>
      </w:r>
      <w:r>
        <w:rPr>
          <w:rFonts w:ascii="宋体" w:hAnsi="宋体" w:eastAsia="宋体"/>
          <w:sz w:val="18"/>
          <w:szCs w:val="18"/>
        </w:rPr>
        <w:t xml:space="preserve"> + 型式检验报告，确保材料的质量符合标准。</w:t>
      </w:r>
    </w:p>
    <w:p w14:paraId="310A4BE0">
      <w:pPr>
        <w:snapToGrid w:val="0"/>
        <w:spacing w:line="276" w:lineRule="auto"/>
        <w:jc w:val="left"/>
        <w:rPr>
          <w:rFonts w:ascii="宋体" w:hAnsi="宋体" w:eastAsia="宋体" w:cs="Times New Roman"/>
          <w:color w:val="000000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 xml:space="preserve">8）涂料允许偏差和检验方法：   </w:t>
      </w:r>
      <w:r>
        <w:rPr>
          <w:rFonts w:hint="eastAsia" w:ascii="宋体" w:hAnsi="宋体" w:eastAsia="宋体" w:cs="Times New Roman"/>
          <w:color w:val="000000"/>
          <w:sz w:val="18"/>
          <w:szCs w:val="18"/>
        </w:rPr>
        <w:t xml:space="preserve">             </w:t>
      </w:r>
    </w:p>
    <w:tbl>
      <w:tblPr>
        <w:tblStyle w:val="5"/>
        <w:tblW w:w="9214" w:type="dxa"/>
        <w:tblInd w:w="137" w:type="dxa"/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680"/>
        <w:gridCol w:w="2552"/>
        <w:gridCol w:w="1871"/>
        <w:gridCol w:w="4111"/>
      </w:tblGrid>
      <w:tr w14:paraId="500D610F"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41" w:hRule="atLeast"/>
        </w:trPr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vAlign w:val="center"/>
          </w:tcPr>
          <w:p w14:paraId="7B714034">
            <w:pPr>
              <w:spacing w:line="240" w:lineRule="exact"/>
              <w:jc w:val="center"/>
              <w:rPr>
                <w:rFonts w:ascii="宋体" w:hAnsi="宋体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25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6" w:space="0"/>
            </w:tcBorders>
            <w:vAlign w:val="center"/>
          </w:tcPr>
          <w:p w14:paraId="2D24D45D">
            <w:pPr>
              <w:spacing w:line="240" w:lineRule="exact"/>
              <w:jc w:val="center"/>
              <w:rPr>
                <w:rFonts w:ascii="宋体" w:hAnsi="宋体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18"/>
                <w:szCs w:val="18"/>
              </w:rPr>
              <w:t>检验内容</w:t>
            </w:r>
          </w:p>
        </w:tc>
        <w:tc>
          <w:tcPr>
            <w:tcW w:w="1871" w:type="dxa"/>
            <w:tcBorders>
              <w:top w:val="single" w:color="auto" w:sz="4" w:space="0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 w14:paraId="65D1E51F">
            <w:pPr>
              <w:spacing w:line="240" w:lineRule="exact"/>
              <w:jc w:val="center"/>
              <w:rPr>
                <w:rFonts w:ascii="宋体" w:hAnsi="宋体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18"/>
                <w:szCs w:val="18"/>
              </w:rPr>
              <w:t>允许偏差 (mm)</w:t>
            </w:r>
          </w:p>
        </w:tc>
        <w:tc>
          <w:tcPr>
            <w:tcW w:w="41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BB805F">
            <w:pPr>
              <w:spacing w:line="240" w:lineRule="exact"/>
              <w:jc w:val="center"/>
              <w:rPr>
                <w:rFonts w:ascii="宋体" w:hAnsi="宋体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18"/>
                <w:szCs w:val="18"/>
              </w:rPr>
              <w:t>检验方法</w:t>
            </w:r>
          </w:p>
        </w:tc>
      </w:tr>
      <w:tr w14:paraId="32B36195"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28" w:hRule="atLeast"/>
        </w:trPr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D01C8A">
            <w:pPr>
              <w:spacing w:line="240" w:lineRule="exact"/>
              <w:jc w:val="center"/>
              <w:rPr>
                <w:rFonts w:ascii="宋体" w:hAnsi="宋体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552" w:type="dxa"/>
            <w:tcBorders>
              <w:top w:val="single" w:color="auto" w:sz="4" w:space="0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 w14:paraId="0D045030">
            <w:pPr>
              <w:spacing w:line="240" w:lineRule="exact"/>
              <w:jc w:val="center"/>
              <w:rPr>
                <w:rFonts w:ascii="宋体" w:hAnsi="宋体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18"/>
                <w:szCs w:val="18"/>
              </w:rPr>
              <w:t>立面垂直度</w:t>
            </w:r>
          </w:p>
        </w:tc>
        <w:tc>
          <w:tcPr>
            <w:tcW w:w="187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 w14:paraId="6F8B807E">
            <w:pPr>
              <w:spacing w:line="240" w:lineRule="exact"/>
              <w:jc w:val="center"/>
              <w:rPr>
                <w:rFonts w:ascii="宋体" w:hAnsi="宋体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宋体" w:hAnsi="宋体" w:eastAsia="宋体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11" w:type="dxa"/>
            <w:tcBorders>
              <w:top w:val="single" w:color="auto" w:sz="4" w:space="0"/>
              <w:left w:val="nil"/>
              <w:bottom w:val="single" w:color="auto" w:sz="6" w:space="0"/>
              <w:right w:val="single" w:color="auto" w:sz="4" w:space="0"/>
            </w:tcBorders>
            <w:vAlign w:val="center"/>
          </w:tcPr>
          <w:p w14:paraId="27E85E71">
            <w:pPr>
              <w:spacing w:line="240" w:lineRule="exact"/>
              <w:jc w:val="center"/>
              <w:rPr>
                <w:rFonts w:ascii="宋体" w:hAnsi="宋体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18"/>
                <w:szCs w:val="18"/>
              </w:rPr>
              <w:t>用2m垂直检测尺检查</w:t>
            </w:r>
          </w:p>
        </w:tc>
      </w:tr>
      <w:tr w14:paraId="435A512E"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98" w:hRule="atLeast"/>
        </w:trPr>
        <w:tc>
          <w:tcPr>
            <w:tcW w:w="680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C3AC92">
            <w:pPr>
              <w:spacing w:line="240" w:lineRule="exact"/>
              <w:jc w:val="center"/>
              <w:rPr>
                <w:rFonts w:ascii="宋体" w:hAnsi="宋体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552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 w14:paraId="604EFB69">
            <w:pPr>
              <w:spacing w:line="240" w:lineRule="exact"/>
              <w:jc w:val="center"/>
              <w:rPr>
                <w:rFonts w:ascii="宋体" w:hAnsi="宋体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18"/>
                <w:szCs w:val="18"/>
              </w:rPr>
              <w:t>表面平整度</w:t>
            </w:r>
          </w:p>
        </w:tc>
        <w:tc>
          <w:tcPr>
            <w:tcW w:w="1871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 w14:paraId="25C55C9A">
            <w:pPr>
              <w:spacing w:line="240" w:lineRule="exact"/>
              <w:jc w:val="center"/>
              <w:rPr>
                <w:rFonts w:ascii="宋体" w:hAnsi="宋体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宋体" w:hAnsi="宋体" w:eastAsia="宋体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11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4" w:space="0"/>
            </w:tcBorders>
            <w:vAlign w:val="center"/>
          </w:tcPr>
          <w:p w14:paraId="7CECE792">
            <w:pPr>
              <w:spacing w:line="240" w:lineRule="exact"/>
              <w:jc w:val="center"/>
              <w:rPr>
                <w:rFonts w:ascii="宋体" w:hAnsi="宋体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18"/>
                <w:szCs w:val="18"/>
              </w:rPr>
              <w:t>用2m靠尺及楔形塞尺检查</w:t>
            </w:r>
          </w:p>
        </w:tc>
      </w:tr>
      <w:tr w14:paraId="39364642"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64" w:hRule="atLeast"/>
        </w:trPr>
        <w:tc>
          <w:tcPr>
            <w:tcW w:w="680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3306B4">
            <w:pPr>
              <w:spacing w:line="240" w:lineRule="exact"/>
              <w:jc w:val="center"/>
              <w:rPr>
                <w:rFonts w:ascii="宋体" w:hAnsi="宋体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552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 w14:paraId="5BD05821">
            <w:pPr>
              <w:spacing w:line="240" w:lineRule="exact"/>
              <w:jc w:val="center"/>
              <w:rPr>
                <w:rFonts w:ascii="宋体" w:hAnsi="宋体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18"/>
                <w:szCs w:val="18"/>
              </w:rPr>
              <w:t>阴阳角方正</w:t>
            </w:r>
          </w:p>
        </w:tc>
        <w:tc>
          <w:tcPr>
            <w:tcW w:w="1871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 w14:paraId="712C8A65">
            <w:pPr>
              <w:spacing w:line="240" w:lineRule="exact"/>
              <w:jc w:val="center"/>
              <w:rPr>
                <w:rFonts w:ascii="宋体" w:hAnsi="宋体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宋体" w:hAnsi="宋体" w:eastAsia="宋体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11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4" w:space="0"/>
            </w:tcBorders>
            <w:vAlign w:val="center"/>
          </w:tcPr>
          <w:p w14:paraId="5AE14C87">
            <w:pPr>
              <w:spacing w:line="240" w:lineRule="exact"/>
              <w:jc w:val="center"/>
              <w:rPr>
                <w:rFonts w:ascii="宋体" w:hAnsi="宋体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18"/>
                <w:szCs w:val="18"/>
              </w:rPr>
              <w:t>用直角检测尺检查</w:t>
            </w:r>
          </w:p>
        </w:tc>
      </w:tr>
    </w:tbl>
    <w:p w14:paraId="36A68C8A">
      <w:pPr>
        <w:snapToGrid w:val="0"/>
        <w:spacing w:line="240" w:lineRule="exact"/>
        <w:jc w:val="left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9）涂料质量要求和检验方法</w:t>
      </w:r>
    </w:p>
    <w:tbl>
      <w:tblPr>
        <w:tblStyle w:val="5"/>
        <w:tblW w:w="0" w:type="auto"/>
        <w:tblInd w:w="11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3"/>
        <w:gridCol w:w="2494"/>
        <w:gridCol w:w="1900"/>
        <w:gridCol w:w="4111"/>
      </w:tblGrid>
      <w:tr w14:paraId="21A773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2CCCBC">
            <w:pPr>
              <w:spacing w:line="240" w:lineRule="exact"/>
              <w:jc w:val="center"/>
              <w:rPr>
                <w:rFonts w:ascii="宋体" w:hAnsi="宋体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249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6A81D238">
            <w:pPr>
              <w:spacing w:line="240" w:lineRule="exact"/>
              <w:jc w:val="center"/>
              <w:rPr>
                <w:rFonts w:ascii="宋体" w:hAnsi="宋体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18"/>
                <w:szCs w:val="18"/>
              </w:rPr>
              <w:t>检验内容</w:t>
            </w:r>
          </w:p>
        </w:tc>
        <w:tc>
          <w:tcPr>
            <w:tcW w:w="190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7AE413AC">
            <w:pPr>
              <w:spacing w:line="240" w:lineRule="exact"/>
              <w:jc w:val="center"/>
              <w:rPr>
                <w:rFonts w:ascii="宋体" w:hAnsi="宋体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18"/>
                <w:szCs w:val="18"/>
              </w:rPr>
              <w:t>质量要求</w:t>
            </w:r>
          </w:p>
        </w:tc>
        <w:tc>
          <w:tcPr>
            <w:tcW w:w="41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5FE32394">
            <w:pPr>
              <w:spacing w:line="240" w:lineRule="exact"/>
              <w:jc w:val="center"/>
              <w:rPr>
                <w:rFonts w:ascii="宋体" w:hAnsi="宋体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18"/>
                <w:szCs w:val="18"/>
              </w:rPr>
              <w:t>检验方法</w:t>
            </w:r>
          </w:p>
        </w:tc>
      </w:tr>
      <w:tr w14:paraId="788D2E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B3811E">
            <w:pPr>
              <w:spacing w:line="240" w:lineRule="exact"/>
              <w:jc w:val="center"/>
              <w:rPr>
                <w:rFonts w:ascii="宋体" w:hAnsi="宋体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3F5F4A14">
            <w:pPr>
              <w:spacing w:line="240" w:lineRule="exact"/>
              <w:jc w:val="center"/>
              <w:rPr>
                <w:rFonts w:ascii="宋体" w:hAnsi="宋体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18"/>
                <w:szCs w:val="18"/>
              </w:rPr>
              <w:t>颜色、光泽</w:t>
            </w:r>
          </w:p>
        </w:tc>
        <w:tc>
          <w:tcPr>
            <w:tcW w:w="190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73E39264">
            <w:pPr>
              <w:spacing w:line="240" w:lineRule="exact"/>
              <w:jc w:val="center"/>
              <w:rPr>
                <w:rFonts w:ascii="宋体" w:hAnsi="宋体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18"/>
                <w:szCs w:val="18"/>
              </w:rPr>
              <w:t>均匀一致</w:t>
            </w:r>
          </w:p>
        </w:tc>
        <w:tc>
          <w:tcPr>
            <w:tcW w:w="4111" w:type="dxa"/>
            <w:vMerge w:val="restar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117EB18A">
            <w:pPr>
              <w:spacing w:line="240" w:lineRule="exact"/>
              <w:jc w:val="center"/>
              <w:rPr>
                <w:rFonts w:ascii="宋体" w:hAnsi="宋体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18"/>
                <w:szCs w:val="18"/>
              </w:rPr>
              <w:t>观察</w:t>
            </w:r>
          </w:p>
        </w:tc>
      </w:tr>
      <w:tr w14:paraId="1E3176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2DD2C8">
            <w:pPr>
              <w:spacing w:line="240" w:lineRule="exact"/>
              <w:jc w:val="center"/>
              <w:rPr>
                <w:rFonts w:ascii="宋体" w:hAnsi="宋体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49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2BE5CB2C">
            <w:pPr>
              <w:spacing w:line="240" w:lineRule="exact"/>
              <w:jc w:val="center"/>
              <w:rPr>
                <w:rFonts w:ascii="宋体" w:hAnsi="宋体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18"/>
                <w:szCs w:val="18"/>
              </w:rPr>
              <w:t>泛碱、咬色</w:t>
            </w:r>
          </w:p>
        </w:tc>
        <w:tc>
          <w:tcPr>
            <w:tcW w:w="190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42277358">
            <w:pPr>
              <w:spacing w:line="240" w:lineRule="exact"/>
              <w:jc w:val="center"/>
              <w:rPr>
                <w:rFonts w:ascii="宋体" w:hAnsi="宋体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18"/>
                <w:szCs w:val="18"/>
              </w:rPr>
              <w:t>不允许</w:t>
            </w:r>
          </w:p>
        </w:tc>
        <w:tc>
          <w:tcPr>
            <w:tcW w:w="4111" w:type="dxa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7AC8A482">
            <w:pPr>
              <w:spacing w:line="240" w:lineRule="exact"/>
              <w:rPr>
                <w:rFonts w:ascii="宋体" w:hAnsi="宋体" w:eastAsia="宋体" w:cs="Times New Roman"/>
                <w:color w:val="000000"/>
                <w:sz w:val="18"/>
                <w:szCs w:val="18"/>
              </w:rPr>
            </w:pPr>
          </w:p>
        </w:tc>
      </w:tr>
      <w:tr w14:paraId="7B01A6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BB2A2B">
            <w:pPr>
              <w:spacing w:line="240" w:lineRule="exact"/>
              <w:jc w:val="center"/>
              <w:rPr>
                <w:rFonts w:ascii="宋体" w:hAnsi="宋体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49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27C142F7">
            <w:pPr>
              <w:spacing w:line="240" w:lineRule="exact"/>
              <w:jc w:val="center"/>
              <w:rPr>
                <w:rFonts w:ascii="宋体" w:hAnsi="宋体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18"/>
                <w:szCs w:val="18"/>
              </w:rPr>
              <w:t>漏刷、透底、流坠</w:t>
            </w:r>
          </w:p>
        </w:tc>
        <w:tc>
          <w:tcPr>
            <w:tcW w:w="190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1DBFB161">
            <w:pPr>
              <w:spacing w:line="240" w:lineRule="exact"/>
              <w:jc w:val="center"/>
              <w:rPr>
                <w:rFonts w:ascii="宋体" w:hAnsi="宋体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18"/>
                <w:szCs w:val="18"/>
              </w:rPr>
              <w:t>不允许</w:t>
            </w:r>
          </w:p>
        </w:tc>
        <w:tc>
          <w:tcPr>
            <w:tcW w:w="4111" w:type="dxa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03837F83">
            <w:pPr>
              <w:spacing w:line="240" w:lineRule="exact"/>
              <w:rPr>
                <w:rFonts w:ascii="宋体" w:hAnsi="宋体" w:eastAsia="宋体" w:cs="Times New Roman"/>
                <w:color w:val="000000"/>
                <w:sz w:val="18"/>
                <w:szCs w:val="18"/>
              </w:rPr>
            </w:pPr>
          </w:p>
        </w:tc>
      </w:tr>
    </w:tbl>
    <w:p w14:paraId="2434D03D">
      <w:pPr>
        <w:snapToGrid w:val="0"/>
        <w:spacing w:line="240" w:lineRule="exact"/>
        <w:jc w:val="left"/>
        <w:rPr>
          <w:rFonts w:ascii="宋体" w:hAnsi="宋体" w:eastAsia="宋体"/>
          <w:szCs w:val="21"/>
        </w:rPr>
      </w:pPr>
    </w:p>
    <w:p w14:paraId="2BB7E72C">
      <w:pPr>
        <w:snapToGrid w:val="0"/>
        <w:spacing w:line="276" w:lineRule="auto"/>
        <w:jc w:val="left"/>
        <w:rPr>
          <w:rFonts w:ascii="宋体" w:hAnsi="宋体" w:eastAsia="宋体"/>
          <w:sz w:val="18"/>
          <w:szCs w:val="18"/>
        </w:rPr>
      </w:pPr>
    </w:p>
    <w:p w14:paraId="549B621D">
      <w:pPr>
        <w:snapToGrid w:val="0"/>
        <w:spacing w:line="276" w:lineRule="auto"/>
        <w:jc w:val="left"/>
        <w:rPr>
          <w:rFonts w:ascii="宋体" w:hAnsi="宋体" w:eastAsia="宋体"/>
          <w:sz w:val="18"/>
          <w:szCs w:val="18"/>
        </w:rPr>
      </w:pPr>
      <w:r>
        <w:t xml:space="preserve">  </w:t>
      </w:r>
      <w:bookmarkStart w:id="23" w:name="_Hlk220235929"/>
      <w:r>
        <w:rPr>
          <w:rFonts w:ascii="宋体" w:hAnsi="宋体" w:eastAsia="宋体"/>
          <w:sz w:val="18"/>
          <w:szCs w:val="18"/>
        </w:rPr>
        <w:br w:type="page"/>
      </w:r>
    </w:p>
    <w:p w14:paraId="4091CF0E">
      <w:pPr>
        <w:snapToGrid w:val="0"/>
        <w:spacing w:line="276" w:lineRule="auto"/>
        <w:jc w:val="left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b/>
          <w:sz w:val="18"/>
          <w:szCs w:val="18"/>
        </w:rPr>
        <w:t>附图一：防小动物挡板图</w:t>
      </w:r>
    </w:p>
    <w:p w14:paraId="0D362459">
      <w:pPr>
        <w:snapToGrid w:val="0"/>
        <w:spacing w:line="276" w:lineRule="auto"/>
        <w:jc w:val="left"/>
        <w:rPr>
          <w:rFonts w:ascii="宋体" w:hAnsi="宋体" w:eastAsia="宋体"/>
          <w:b/>
          <w:sz w:val="18"/>
          <w:szCs w:val="18"/>
        </w:rPr>
      </w:pPr>
      <w:r>
        <w:rPr>
          <w:rFonts w:hint="eastAsia" w:ascii="宋体" w:hAnsi="宋体" w:eastAsia="宋体"/>
          <w:b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34290</wp:posOffset>
                </wp:positionV>
                <wp:extent cx="6045200" cy="4237990"/>
                <wp:effectExtent l="0" t="0" r="12700" b="1016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5200" cy="42379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top:2.7pt;height:333.7pt;width:476pt;mso-position-horizontal:left;mso-position-horizontal-relative:margin;z-index:251660288;v-text-anchor:middle;mso-width-relative:page;mso-height-relative:page;" filled="f" stroked="t" coordsize="21600,21600" o:gfxdata="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E85RhfXAAAABgEAAA8AAAAAAAAAAQAgAAAAIgAA&#10;AGRycy9kb3ducmV2LnhtbFBLAQIUABQAAAAIAIdO4kCpV6DwewIAAO4EAAAOAAAAAAAAAAEAIAAA&#10;ACYBAABkcnMvZTJvRG9jLnhtbFBLBQYAAAAABgAGAFkBAAATBgAAAAA=&#10;">
                <v:fill on="f" focussize="0,0"/>
                <v:stroke weight="1.5pt"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/>
          <w:b/>
          <w:sz w:val="18"/>
          <w:szCs w:val="18"/>
        </w:rPr>
        <w:drawing>
          <wp:inline distT="0" distB="0" distL="0" distR="0">
            <wp:extent cx="6059170" cy="423037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2922" cy="4240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FE9FF3">
      <w:pPr>
        <w:snapToGrid w:val="0"/>
        <w:spacing w:line="276" w:lineRule="auto"/>
        <w:jc w:val="left"/>
        <w:rPr>
          <w:rFonts w:ascii="宋体" w:hAnsi="宋体" w:eastAsia="宋体"/>
          <w:b/>
          <w:sz w:val="18"/>
          <w:szCs w:val="18"/>
        </w:rPr>
      </w:pPr>
    </w:p>
    <w:p w14:paraId="6AA33713">
      <w:pPr>
        <w:snapToGrid w:val="0"/>
        <w:spacing w:line="276" w:lineRule="auto"/>
        <w:jc w:val="left"/>
        <w:rPr>
          <w:rFonts w:ascii="宋体" w:hAnsi="宋体" w:eastAsia="宋体"/>
          <w:b/>
          <w:sz w:val="18"/>
          <w:szCs w:val="18"/>
        </w:rPr>
      </w:pPr>
    </w:p>
    <w:p w14:paraId="68AAC99C">
      <w:pPr>
        <w:snapToGrid w:val="0"/>
        <w:spacing w:line="276" w:lineRule="auto"/>
        <w:jc w:val="left"/>
        <w:rPr>
          <w:rFonts w:ascii="宋体" w:hAnsi="宋体" w:eastAsia="宋体"/>
          <w:b/>
          <w:sz w:val="18"/>
          <w:szCs w:val="18"/>
        </w:rPr>
      </w:pPr>
      <w:r>
        <w:rPr>
          <w:rFonts w:hint="eastAsia" w:ascii="宋体" w:hAnsi="宋体" w:eastAsia="宋体"/>
          <w:b/>
          <w:sz w:val="18"/>
          <w:szCs w:val="18"/>
        </w:rPr>
        <w:t>附图二：总降电源箱</w:t>
      </w:r>
      <w:r>
        <w:rPr>
          <w:rFonts w:ascii="宋体" w:hAnsi="宋体" w:eastAsia="宋体"/>
          <w:b/>
          <w:sz w:val="18"/>
          <w:szCs w:val="18"/>
        </w:rPr>
        <w:t>ZM及应急灯配电箱ALE系统接线图</w:t>
      </w:r>
    </w:p>
    <w:p w14:paraId="6C23B5D6">
      <w:pPr>
        <w:snapToGrid w:val="0"/>
        <w:spacing w:line="276" w:lineRule="auto"/>
        <w:jc w:val="left"/>
        <w:rPr>
          <w:rFonts w:ascii="宋体" w:hAnsi="宋体" w:eastAsia="宋体"/>
          <w:b/>
          <w:sz w:val="18"/>
          <w:szCs w:val="18"/>
        </w:rPr>
      </w:pPr>
      <w:r>
        <w:rPr>
          <w:rFonts w:hint="eastAsia" w:ascii="宋体" w:hAnsi="宋体" w:eastAsia="宋体"/>
          <w:b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86995</wp:posOffset>
                </wp:positionV>
                <wp:extent cx="6045835" cy="4626610"/>
                <wp:effectExtent l="0" t="0" r="12700" b="2159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5692" cy="462661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top:6.85pt;height:364.3pt;width:476.05pt;mso-position-horizontal:left;mso-position-horizontal-relative:margin;z-index:251661312;v-text-anchor:middle;mso-width-relative:page;mso-height-relative:page;" filled="f" stroked="t" coordsize="21600,21600" o:gfxdata="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yhhYu9cAAAAHAQAADwAAAAAAAAABACAAAAAi&#10;AAAAZHJzL2Rvd25yZXYueG1sUEsBAhQAFAAAAAgAh07iQIaUJP99AgAA7gQAAA4AAAAAAAAAAQAg&#10;AAAAJgEAAGRycy9lMm9Eb2MueG1sUEsFBgAAAAAGAAYAWQEAABUGAAAAAA==&#10;">
                <v:fill on="f" focussize="0,0"/>
                <v:stroke weight="1.5pt"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/>
          <w:b/>
          <w:sz w:val="18"/>
          <w:szCs w:val="18"/>
        </w:rPr>
        <w:t xml:space="preserve"> </w:t>
      </w:r>
      <w:r>
        <w:rPr>
          <w:rFonts w:ascii="宋体" w:hAnsi="宋体" w:eastAsia="宋体"/>
          <w:b/>
          <w:sz w:val="18"/>
          <w:szCs w:val="18"/>
        </w:rPr>
        <w:drawing>
          <wp:inline distT="0" distB="0" distL="0" distR="0">
            <wp:extent cx="5706110" cy="4627245"/>
            <wp:effectExtent l="0" t="0" r="889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6110" cy="462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5C3577">
      <w:pPr>
        <w:snapToGrid w:val="0"/>
        <w:spacing w:line="276" w:lineRule="auto"/>
        <w:jc w:val="left"/>
        <w:rPr>
          <w:rFonts w:ascii="宋体" w:hAnsi="宋体" w:eastAsia="宋体"/>
          <w:b/>
          <w:sz w:val="18"/>
          <w:szCs w:val="18"/>
        </w:rPr>
      </w:pPr>
    </w:p>
    <w:p w14:paraId="4FC8D08D">
      <w:pPr>
        <w:snapToGrid w:val="0"/>
        <w:spacing w:line="276" w:lineRule="auto"/>
        <w:jc w:val="left"/>
        <w:rPr>
          <w:rFonts w:ascii="宋体" w:hAnsi="宋体" w:eastAsia="宋体"/>
          <w:b/>
          <w:sz w:val="18"/>
          <w:szCs w:val="18"/>
        </w:rPr>
      </w:pPr>
      <w:r>
        <w:rPr>
          <w:rFonts w:hint="eastAsia" w:ascii="宋体" w:hAnsi="宋体" w:eastAsia="宋体"/>
          <w:b/>
          <w:sz w:val="18"/>
          <w:szCs w:val="18"/>
        </w:rPr>
        <w:t>附图三：照明平面布置图</w:t>
      </w:r>
    </w:p>
    <w:bookmarkEnd w:id="23"/>
    <w:p w14:paraId="4E0CF677">
      <w:pPr>
        <w:snapToGrid w:val="0"/>
        <w:spacing w:line="276" w:lineRule="auto"/>
        <w:jc w:val="left"/>
        <w:rPr>
          <w:rFonts w:ascii="宋体" w:hAnsi="宋体" w:eastAsia="宋体"/>
          <w:sz w:val="18"/>
          <w:szCs w:val="18"/>
        </w:rPr>
      </w:pPr>
      <w:r>
        <w:rPr>
          <w:rFonts w:ascii="宋体" w:hAnsi="宋体" w:eastAsia="宋体"/>
          <w:sz w:val="18"/>
          <w:szCs w:val="18"/>
        </w:rPr>
        <w:drawing>
          <wp:inline distT="0" distB="0" distL="0" distR="0">
            <wp:extent cx="6086475" cy="4620260"/>
            <wp:effectExtent l="0" t="0" r="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0371" cy="463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F8F6BD">
      <w:pPr>
        <w:snapToGrid w:val="0"/>
        <w:spacing w:line="276" w:lineRule="auto"/>
        <w:jc w:val="left"/>
        <w:rPr>
          <w:rFonts w:ascii="宋体" w:hAnsi="宋体" w:eastAsia="宋体"/>
          <w:b/>
          <w:sz w:val="18"/>
          <w:szCs w:val="18"/>
        </w:rPr>
      </w:pPr>
      <w:r>
        <w:rPr>
          <w:rFonts w:hint="eastAsia" w:ascii="宋体" w:hAnsi="宋体" w:eastAsia="宋体"/>
          <w:b/>
          <w:sz w:val="18"/>
          <w:szCs w:val="18"/>
        </w:rPr>
        <w:t>附图四：</w:t>
      </w:r>
      <w:r>
        <w:rPr>
          <w:rFonts w:ascii="宋体" w:hAnsi="宋体" w:eastAsia="宋体"/>
          <w:b/>
          <w:sz w:val="18"/>
          <w:szCs w:val="18"/>
        </w:rPr>
        <w:t xml:space="preserve"> </w:t>
      </w:r>
      <w:r>
        <w:rPr>
          <w:rFonts w:hint="eastAsia" w:ascii="宋体" w:hAnsi="宋体" w:eastAsia="宋体"/>
          <w:b/>
          <w:sz w:val="18"/>
          <w:szCs w:val="18"/>
        </w:rPr>
        <w:t>低压配电柜系统图</w:t>
      </w:r>
    </w:p>
    <w:p w14:paraId="021182CC">
      <w:pPr>
        <w:snapToGrid w:val="0"/>
        <w:spacing w:line="276" w:lineRule="auto"/>
        <w:jc w:val="left"/>
        <w:rPr>
          <w:rFonts w:ascii="宋体" w:hAnsi="宋体" w:eastAsia="宋体"/>
          <w:sz w:val="18"/>
          <w:szCs w:val="18"/>
        </w:rPr>
      </w:pPr>
      <w:r>
        <w:rPr>
          <w:rFonts w:ascii="宋体" w:hAnsi="宋体" w:eastAsia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4083050</wp:posOffset>
                </wp:positionH>
                <wp:positionV relativeFrom="paragraph">
                  <wp:posOffset>1210945</wp:posOffset>
                </wp:positionV>
                <wp:extent cx="1985645" cy="1630680"/>
                <wp:effectExtent l="0" t="0" r="14605" b="2667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5749" cy="16309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1.5pt;margin-top:95.35pt;height:128.4pt;width:156.35pt;z-index:251659264;v-text-anchor:middle;mso-width-relative:page;mso-height-relative:page;" fillcolor="#FFFFFF [3212]" filled="t" stroked="t" coordsize="21600,21600" o:gfxdata="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HoU4G2gAAAAsBAAAPAAAAAAAAAAEAIAAAACIAAABkcnMvZG93bnJl&#10;di54bWxQSwECFAAUAAAACACHTuJAF6JDhm0CAAD1BAAADgAAAAAAAAABACAAAAApAQAAZHJzL2Uy&#10;b0RvYy54bWxQSwUGAAAAAAYABgBZAQAACAYAAAAA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/>
          <w:sz w:val="18"/>
          <w:szCs w:val="18"/>
        </w:rPr>
        <w:drawing>
          <wp:inline distT="0" distB="0" distL="0" distR="0">
            <wp:extent cx="6127750" cy="4762500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4267" cy="4783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headerReference r:id="rId3" w:type="default"/>
      <w:headerReference r:id="rId4" w:type="even"/>
      <w:pgSz w:w="11906" w:h="16838"/>
      <w:pgMar w:top="284" w:right="851" w:bottom="28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tggj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UI Emoji">
    <w:panose1 w:val="020B0502040204020203"/>
    <w:charset w:val="00"/>
    <w:family w:val="swiss"/>
    <w:pitch w:val="default"/>
    <w:sig w:usb0="00000001" w:usb1="02000000" w:usb2="08000000" w:usb3="00000000" w:csb0="0000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F32E1B">
    <w:pPr>
      <w:pStyle w:val="4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9478DE"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2E65B86"/>
    <w:multiLevelType w:val="multilevel"/>
    <w:tmpl w:val="32E65B86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F5841D8"/>
    <w:multiLevelType w:val="multilevel"/>
    <w:tmpl w:val="6F5841D8"/>
    <w:lvl w:ilvl="0" w:tentative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（%3）"/>
      <w:lvlJc w:val="left"/>
      <w:pPr>
        <w:ind w:left="1301" w:hanging="45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1"/>
  </w:num>
  <w:num w:numId="2">
    <w:abstractNumId w:val="1"/>
    <w:lvlOverride w:ilvl="0">
      <w:lvl w:ilvl="0" w:tentative="1">
        <w:start w:val="1"/>
        <w:numFmt w:val="decimal"/>
        <w:lvlText w:val="%1"/>
        <w:lvlJc w:val="left"/>
        <w:pPr>
          <w:ind w:left="425" w:hanging="425"/>
        </w:pPr>
        <w:rPr>
          <w:rFonts w:hint="default"/>
        </w:rPr>
      </w:lvl>
    </w:lvlOverride>
    <w:lvlOverride w:ilvl="1">
      <w:lvl w:ilvl="1" w:tentative="1">
        <w:start w:val="1"/>
        <w:numFmt w:val="decimal"/>
        <w:lvlText w:val="%1.%2"/>
        <w:lvlJc w:val="left"/>
        <w:pPr>
          <w:ind w:left="850" w:hanging="567"/>
        </w:pPr>
        <w:rPr>
          <w:rFonts w:hint="eastAsia"/>
        </w:rPr>
      </w:lvl>
    </w:lvlOverride>
    <w:lvlOverride w:ilvl="2">
      <w:lvl w:ilvl="2" w:tentative="1">
        <w:start w:val="1"/>
        <w:numFmt w:val="decimal"/>
        <w:lvlText w:val="%1.%2.%3"/>
        <w:lvlJc w:val="left"/>
        <w:pPr>
          <w:ind w:left="1418" w:hanging="567"/>
        </w:pPr>
        <w:rPr>
          <w:rFonts w:hint="eastAsia"/>
        </w:rPr>
      </w:lvl>
    </w:lvlOverride>
    <w:lvlOverride w:ilvl="3">
      <w:lvl w:ilvl="3" w:tentative="1">
        <w:start w:val="1"/>
        <w:numFmt w:val="decimal"/>
        <w:lvlText w:val="%1.%2.%3.%4"/>
        <w:lvlJc w:val="left"/>
        <w:pPr>
          <w:ind w:left="1984" w:hanging="708"/>
        </w:pPr>
        <w:rPr>
          <w:rFonts w:hint="eastAsia"/>
        </w:rPr>
      </w:lvl>
    </w:lvlOverride>
    <w:lvlOverride w:ilvl="4">
      <w:lvl w:ilvl="4" w:tentative="1">
        <w:start w:val="1"/>
        <w:numFmt w:val="decimal"/>
        <w:lvlText w:val="%1.%2.%3.%4.%5"/>
        <w:lvlJc w:val="left"/>
        <w:pPr>
          <w:ind w:left="2551" w:hanging="850"/>
        </w:pPr>
        <w:rPr>
          <w:rFonts w:hint="eastAsia"/>
        </w:rPr>
      </w:lvl>
    </w:lvlOverride>
    <w:lvlOverride w:ilvl="5">
      <w:lvl w:ilvl="5" w:tentative="1">
        <w:start w:val="1"/>
        <w:numFmt w:val="decimal"/>
        <w:lvlText w:val="%1.%2.%3.%4.%5.%6"/>
        <w:lvlJc w:val="left"/>
        <w:pPr>
          <w:ind w:left="3260" w:hanging="1134"/>
        </w:pPr>
        <w:rPr>
          <w:rFonts w:hint="eastAsia"/>
        </w:rPr>
      </w:lvl>
    </w:lvlOverride>
    <w:lvlOverride w:ilvl="6">
      <w:lvl w:ilvl="6" w:tentative="1">
        <w:start w:val="1"/>
        <w:numFmt w:val="decimal"/>
        <w:lvlText w:val="%1.%2.%3.%4.%5.%6.%7"/>
        <w:lvlJc w:val="left"/>
        <w:pPr>
          <w:ind w:left="3827" w:hanging="1276"/>
        </w:pPr>
        <w:rPr>
          <w:rFonts w:hint="eastAsia"/>
        </w:rPr>
      </w:lvl>
    </w:lvlOverride>
    <w:lvlOverride w:ilvl="7">
      <w:lvl w:ilvl="7" w:tentative="1">
        <w:start w:val="1"/>
        <w:numFmt w:val="decimal"/>
        <w:lvlText w:val="%1.%2.%3.%4.%5.%6.%7.%8"/>
        <w:lvlJc w:val="left"/>
        <w:pPr>
          <w:ind w:left="4394" w:hanging="1418"/>
        </w:pPr>
        <w:rPr>
          <w:rFonts w:hint="eastAsia"/>
        </w:rPr>
      </w:lvl>
    </w:lvlOverride>
    <w:lvlOverride w:ilvl="8">
      <w:lvl w:ilvl="8" w:tentative="1">
        <w:start w:val="1"/>
        <w:numFmt w:val="decimal"/>
        <w:lvlText w:val="%1.%2.%3.%4.%5.%6.%7.%8.%9"/>
        <w:lvlJc w:val="left"/>
        <w:pPr>
          <w:ind w:left="5102" w:hanging="1700"/>
        </w:pPr>
        <w:rPr>
          <w:rFonts w:hint="eastAsia"/>
        </w:rPr>
      </w:lvl>
    </w:lvlOverride>
  </w:num>
  <w:num w:numId="3">
    <w:abstractNumId w:val="1"/>
    <w:lvlOverride w:ilvl="0">
      <w:lvl w:ilvl="0" w:tentative="1">
        <w:start w:val="1"/>
        <w:numFmt w:val="decimal"/>
        <w:lvlText w:val="%1"/>
        <w:lvlJc w:val="left"/>
        <w:pPr>
          <w:ind w:left="425" w:hanging="425"/>
        </w:pPr>
      </w:lvl>
    </w:lvlOverride>
    <w:lvlOverride w:ilvl="1">
      <w:lvl w:ilvl="1" w:tentative="1">
        <w:start w:val="1"/>
        <w:numFmt w:val="decimal"/>
        <w:lvlText w:val="%1.%2"/>
        <w:lvlJc w:val="left"/>
        <w:pPr>
          <w:ind w:left="850" w:hanging="567"/>
        </w:pPr>
      </w:lvl>
    </w:lvlOverride>
    <w:lvlOverride w:ilvl="2">
      <w:lvl w:ilvl="2" w:tentative="1">
        <w:start w:val="1"/>
        <w:numFmt w:val="decimal"/>
        <w:lvlText w:val="%1.%2.%3"/>
        <w:lvlJc w:val="left"/>
        <w:pPr>
          <w:ind w:left="1418" w:hanging="567"/>
        </w:pPr>
      </w:lvl>
    </w:lvlOverride>
    <w:lvlOverride w:ilvl="3">
      <w:lvl w:ilvl="3" w:tentative="1">
        <w:start w:val="1"/>
        <w:numFmt w:val="decimal"/>
        <w:lvlText w:val="%1.%2.%3.%4"/>
        <w:lvlJc w:val="left"/>
        <w:pPr>
          <w:ind w:left="1984" w:hanging="708"/>
        </w:pPr>
      </w:lvl>
    </w:lvlOverride>
    <w:lvlOverride w:ilvl="4">
      <w:lvl w:ilvl="4" w:tentative="1">
        <w:start w:val="1"/>
        <w:numFmt w:val="decimal"/>
        <w:lvlText w:val="%1.%2.%3.%4.%5"/>
        <w:lvlJc w:val="left"/>
        <w:pPr>
          <w:ind w:left="2551" w:hanging="850"/>
        </w:pPr>
      </w:lvl>
    </w:lvlOverride>
    <w:lvlOverride w:ilvl="5">
      <w:lvl w:ilvl="5" w:tentative="1">
        <w:start w:val="1"/>
        <w:numFmt w:val="decimal"/>
        <w:lvlText w:val="%1.%2.%3.%4.%5.%6"/>
        <w:lvlJc w:val="left"/>
        <w:pPr>
          <w:ind w:left="3260" w:hanging="1134"/>
        </w:pPr>
      </w:lvl>
    </w:lvlOverride>
    <w:lvlOverride w:ilvl="6">
      <w:lvl w:ilvl="6" w:tentative="1">
        <w:start w:val="1"/>
        <w:numFmt w:val="decimal"/>
        <w:lvlText w:val="%1.%2.%3.%4.%5.%6.%7"/>
        <w:lvlJc w:val="left"/>
        <w:pPr>
          <w:ind w:left="3827" w:hanging="1276"/>
        </w:pPr>
      </w:lvl>
    </w:lvlOverride>
    <w:lvlOverride w:ilvl="7">
      <w:lvl w:ilvl="7" w:tentative="1">
        <w:start w:val="1"/>
        <w:numFmt w:val="decimal"/>
        <w:lvlText w:val="%1.%2.%3.%4.%5.%6.%7.%8"/>
        <w:lvlJc w:val="left"/>
        <w:pPr>
          <w:ind w:left="4394" w:hanging="1418"/>
        </w:pPr>
      </w:lvl>
    </w:lvlOverride>
    <w:lvlOverride w:ilvl="8">
      <w:lvl w:ilvl="8" w:tentative="1">
        <w:start w:val="1"/>
        <w:numFmt w:val="decimal"/>
        <w:lvlText w:val="%1.%2.%3.%4.%5.%6.%7.%8.%9"/>
        <w:lvlJc w:val="left"/>
        <w:pPr>
          <w:ind w:left="5102" w:hanging="1700"/>
        </w:pPr>
      </w:lvl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E00"/>
    <w:rsid w:val="00003EFD"/>
    <w:rsid w:val="00005599"/>
    <w:rsid w:val="0000651D"/>
    <w:rsid w:val="0001120A"/>
    <w:rsid w:val="0001139A"/>
    <w:rsid w:val="00027364"/>
    <w:rsid w:val="000374DF"/>
    <w:rsid w:val="00040A11"/>
    <w:rsid w:val="00052C52"/>
    <w:rsid w:val="000556F2"/>
    <w:rsid w:val="00075F25"/>
    <w:rsid w:val="00083144"/>
    <w:rsid w:val="00086683"/>
    <w:rsid w:val="00092827"/>
    <w:rsid w:val="00096BA3"/>
    <w:rsid w:val="000A0E00"/>
    <w:rsid w:val="000B7CC2"/>
    <w:rsid w:val="000D21DD"/>
    <w:rsid w:val="000D60FC"/>
    <w:rsid w:val="000F1276"/>
    <w:rsid w:val="00113122"/>
    <w:rsid w:val="001141B4"/>
    <w:rsid w:val="00134783"/>
    <w:rsid w:val="001447AE"/>
    <w:rsid w:val="001725C2"/>
    <w:rsid w:val="001A1C42"/>
    <w:rsid w:val="001A74C9"/>
    <w:rsid w:val="001E6383"/>
    <w:rsid w:val="001F73A0"/>
    <w:rsid w:val="00214393"/>
    <w:rsid w:val="00224D28"/>
    <w:rsid w:val="002254E8"/>
    <w:rsid w:val="00236890"/>
    <w:rsid w:val="00245D4F"/>
    <w:rsid w:val="00246FE6"/>
    <w:rsid w:val="002908FE"/>
    <w:rsid w:val="002937D9"/>
    <w:rsid w:val="002D380E"/>
    <w:rsid w:val="00306206"/>
    <w:rsid w:val="00332130"/>
    <w:rsid w:val="0033321E"/>
    <w:rsid w:val="00337F4B"/>
    <w:rsid w:val="0035096A"/>
    <w:rsid w:val="00353451"/>
    <w:rsid w:val="0035447E"/>
    <w:rsid w:val="003579D0"/>
    <w:rsid w:val="003614E6"/>
    <w:rsid w:val="00370D78"/>
    <w:rsid w:val="00373A8A"/>
    <w:rsid w:val="00374690"/>
    <w:rsid w:val="003A18D1"/>
    <w:rsid w:val="003B3364"/>
    <w:rsid w:val="003C3A4D"/>
    <w:rsid w:val="003D054D"/>
    <w:rsid w:val="003D31DC"/>
    <w:rsid w:val="003E2C2E"/>
    <w:rsid w:val="003F140C"/>
    <w:rsid w:val="00406D16"/>
    <w:rsid w:val="00415585"/>
    <w:rsid w:val="004159A7"/>
    <w:rsid w:val="004253A0"/>
    <w:rsid w:val="0043122D"/>
    <w:rsid w:val="00442B85"/>
    <w:rsid w:val="00460D60"/>
    <w:rsid w:val="00472BF2"/>
    <w:rsid w:val="004901E4"/>
    <w:rsid w:val="004B4476"/>
    <w:rsid w:val="004E0004"/>
    <w:rsid w:val="004E09B3"/>
    <w:rsid w:val="004F07FB"/>
    <w:rsid w:val="005026ED"/>
    <w:rsid w:val="0050395D"/>
    <w:rsid w:val="00514D10"/>
    <w:rsid w:val="00516669"/>
    <w:rsid w:val="00526CB8"/>
    <w:rsid w:val="005310D8"/>
    <w:rsid w:val="00531C4F"/>
    <w:rsid w:val="00533288"/>
    <w:rsid w:val="0055060F"/>
    <w:rsid w:val="00550748"/>
    <w:rsid w:val="00557BE2"/>
    <w:rsid w:val="00563A32"/>
    <w:rsid w:val="0057563C"/>
    <w:rsid w:val="00576C7D"/>
    <w:rsid w:val="00577BDB"/>
    <w:rsid w:val="005A0BAF"/>
    <w:rsid w:val="005A65F1"/>
    <w:rsid w:val="005A71AA"/>
    <w:rsid w:val="005B1A16"/>
    <w:rsid w:val="005C287A"/>
    <w:rsid w:val="005C7DC4"/>
    <w:rsid w:val="005D2326"/>
    <w:rsid w:val="005E3747"/>
    <w:rsid w:val="005F16F2"/>
    <w:rsid w:val="005F5684"/>
    <w:rsid w:val="00620C98"/>
    <w:rsid w:val="00676255"/>
    <w:rsid w:val="00677F5F"/>
    <w:rsid w:val="00685BB9"/>
    <w:rsid w:val="0069756E"/>
    <w:rsid w:val="006B1C7D"/>
    <w:rsid w:val="006B2AE8"/>
    <w:rsid w:val="006B3496"/>
    <w:rsid w:val="006D5321"/>
    <w:rsid w:val="006E0DFA"/>
    <w:rsid w:val="006F1EB5"/>
    <w:rsid w:val="006F660A"/>
    <w:rsid w:val="007014BD"/>
    <w:rsid w:val="00713053"/>
    <w:rsid w:val="00717166"/>
    <w:rsid w:val="00731F48"/>
    <w:rsid w:val="00732525"/>
    <w:rsid w:val="00745C3B"/>
    <w:rsid w:val="00765448"/>
    <w:rsid w:val="00765470"/>
    <w:rsid w:val="00766A94"/>
    <w:rsid w:val="0078354E"/>
    <w:rsid w:val="007847A3"/>
    <w:rsid w:val="00790D8E"/>
    <w:rsid w:val="00796F67"/>
    <w:rsid w:val="007A35C4"/>
    <w:rsid w:val="007A62EB"/>
    <w:rsid w:val="007D5DA6"/>
    <w:rsid w:val="007F4B65"/>
    <w:rsid w:val="0080379F"/>
    <w:rsid w:val="0081239B"/>
    <w:rsid w:val="00814AB4"/>
    <w:rsid w:val="0081510C"/>
    <w:rsid w:val="00820094"/>
    <w:rsid w:val="0084128A"/>
    <w:rsid w:val="008416B7"/>
    <w:rsid w:val="00847F5F"/>
    <w:rsid w:val="00854E81"/>
    <w:rsid w:val="00865244"/>
    <w:rsid w:val="00881A8F"/>
    <w:rsid w:val="008A16B4"/>
    <w:rsid w:val="008B3C86"/>
    <w:rsid w:val="008D048D"/>
    <w:rsid w:val="008E590C"/>
    <w:rsid w:val="008E594E"/>
    <w:rsid w:val="009069D8"/>
    <w:rsid w:val="009324F9"/>
    <w:rsid w:val="0094019D"/>
    <w:rsid w:val="00940746"/>
    <w:rsid w:val="00946C32"/>
    <w:rsid w:val="00957A83"/>
    <w:rsid w:val="009742D2"/>
    <w:rsid w:val="0098689A"/>
    <w:rsid w:val="009A2B17"/>
    <w:rsid w:val="009C5577"/>
    <w:rsid w:val="009C563A"/>
    <w:rsid w:val="00A30E1C"/>
    <w:rsid w:val="00A31E38"/>
    <w:rsid w:val="00A55477"/>
    <w:rsid w:val="00A63104"/>
    <w:rsid w:val="00A631D0"/>
    <w:rsid w:val="00A73E3C"/>
    <w:rsid w:val="00A83E4C"/>
    <w:rsid w:val="00A85631"/>
    <w:rsid w:val="00A97352"/>
    <w:rsid w:val="00AC4407"/>
    <w:rsid w:val="00AC681C"/>
    <w:rsid w:val="00B130D5"/>
    <w:rsid w:val="00B13856"/>
    <w:rsid w:val="00B356A6"/>
    <w:rsid w:val="00B54737"/>
    <w:rsid w:val="00B57C76"/>
    <w:rsid w:val="00B672E1"/>
    <w:rsid w:val="00B73E02"/>
    <w:rsid w:val="00BB4532"/>
    <w:rsid w:val="00BB57A2"/>
    <w:rsid w:val="00BC47B4"/>
    <w:rsid w:val="00BC4F96"/>
    <w:rsid w:val="00BE5EEE"/>
    <w:rsid w:val="00BF2A5E"/>
    <w:rsid w:val="00BF3D5B"/>
    <w:rsid w:val="00BF7566"/>
    <w:rsid w:val="00C00689"/>
    <w:rsid w:val="00C01D06"/>
    <w:rsid w:val="00C20441"/>
    <w:rsid w:val="00C21A25"/>
    <w:rsid w:val="00C248E8"/>
    <w:rsid w:val="00C40C58"/>
    <w:rsid w:val="00C51371"/>
    <w:rsid w:val="00C51884"/>
    <w:rsid w:val="00C644B8"/>
    <w:rsid w:val="00C66210"/>
    <w:rsid w:val="00C777E8"/>
    <w:rsid w:val="00C803D0"/>
    <w:rsid w:val="00CB0326"/>
    <w:rsid w:val="00CB3F86"/>
    <w:rsid w:val="00CB6FD8"/>
    <w:rsid w:val="00CD6F83"/>
    <w:rsid w:val="00D047D5"/>
    <w:rsid w:val="00D209CA"/>
    <w:rsid w:val="00D34C21"/>
    <w:rsid w:val="00D35BD1"/>
    <w:rsid w:val="00D4798E"/>
    <w:rsid w:val="00D50A3E"/>
    <w:rsid w:val="00D51145"/>
    <w:rsid w:val="00DB4E80"/>
    <w:rsid w:val="00DB613C"/>
    <w:rsid w:val="00DC70A2"/>
    <w:rsid w:val="00E0237D"/>
    <w:rsid w:val="00E34212"/>
    <w:rsid w:val="00E3738D"/>
    <w:rsid w:val="00E6760E"/>
    <w:rsid w:val="00E84088"/>
    <w:rsid w:val="00EA3B59"/>
    <w:rsid w:val="00EB3E90"/>
    <w:rsid w:val="00EB516F"/>
    <w:rsid w:val="00EB5CB0"/>
    <w:rsid w:val="00EB750F"/>
    <w:rsid w:val="00ED06E0"/>
    <w:rsid w:val="00EF49E0"/>
    <w:rsid w:val="00F05EFC"/>
    <w:rsid w:val="00F071CE"/>
    <w:rsid w:val="00F22525"/>
    <w:rsid w:val="00F36429"/>
    <w:rsid w:val="00F40689"/>
    <w:rsid w:val="00F5301A"/>
    <w:rsid w:val="00F65361"/>
    <w:rsid w:val="00F70EA0"/>
    <w:rsid w:val="00F73375"/>
    <w:rsid w:val="00F86D06"/>
    <w:rsid w:val="00F972C4"/>
    <w:rsid w:val="00FA3BC2"/>
    <w:rsid w:val="00FD3E00"/>
    <w:rsid w:val="00FF2FD6"/>
    <w:rsid w:val="00FF4E2A"/>
    <w:rsid w:val="31510A9D"/>
    <w:rsid w:val="31A041CB"/>
    <w:rsid w:val="5CD86660"/>
    <w:rsid w:val="7CD71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paragraph" w:customStyle="1" w:styleId="9">
    <w:name w:val="Default"/>
    <w:qFormat/>
    <w:uiPriority w:val="0"/>
    <w:pPr>
      <w:widowControl w:val="0"/>
      <w:autoSpaceDE w:val="0"/>
      <w:autoSpaceDN w:val="0"/>
      <w:adjustRightInd w:val="0"/>
    </w:pPr>
    <w:rPr>
      <w:rFonts w:ascii="Arial" w:hAnsi="Arial" w:eastAsia="宋体" w:cs="Arial"/>
      <w:color w:val="000000"/>
      <w:kern w:val="0"/>
      <w:sz w:val="24"/>
      <w:szCs w:val="24"/>
      <w:lang w:val="en-US" w:eastAsia="zh-CN" w:bidi="ar-SA"/>
    </w:rPr>
  </w:style>
  <w:style w:type="character" w:customStyle="1" w:styleId="10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1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12">
    <w:name w:val="批注框文本 字符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emf"/><Relationship Id="rId6" Type="http://schemas.openxmlformats.org/officeDocument/2006/relationships/oleObject" Target="embeddings/Document1.doc"/><Relationship Id="rId5" Type="http://schemas.openxmlformats.org/officeDocument/2006/relationships/theme" Target="theme/theme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3.xml"/><Relationship Id="rId14" Type="http://schemas.openxmlformats.org/officeDocument/2006/relationships/customXml" Target="../customXml/item2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ontractReview xmlns="http://schemas.wps.cn/vas-ai-hub/contract-review">
  <reviewItems>
    <reviewItem>
      <errorID>55e86a51-30b0-4f36-b027-473ad9d7879f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735F7C89</paraID>
      <start>9</start>
      <end>10</end>
      <status>modified</status>
      <modifiedWord>－</modifiedWord>
      <trackRevisions>false</trackRevisions>
    </reviewItem>
    <reviewItem>
      <errorID>bba837d0-9adb-457f-8967-1c2877863c7d</errorID>
      <errorWord>KW</errorWord>
      <group>L1_Word</group>
      <groupName>字词问题</groupName>
      <ability>L2_Typo</ability>
      <abilityName>字词错误</abilityName>
      <candidateList>
        <item>kW</item>
      </candidateList>
      <explain/>
      <paraID>2A779627</paraID>
      <start>28</start>
      <end>30</end>
      <status>modified</status>
      <modifiedWord>kW</modifiedWord>
      <trackRevisions>false</trackRevisions>
    </reviewItem>
    <reviewItem>
      <errorID>aa9060c6-1dc7-42cb-9bc3-edf6da0b9a8b</errorID>
      <errorWord>作</errorWord>
      <group>L1_Word</group>
      <groupName>字词问题</groupName>
      <ability>L2_Typo</ability>
      <abilityName>字词错误</abilityName>
      <candidateList>
        <item>作中</item>
      </candidateList>
      <explain/>
      <paraID>3AE0D328</paraID>
      <start>38</start>
      <end>40</end>
      <status>modified</status>
      <modifiedWord>作中</modifiedWord>
      <trackRevisions>false</trackRevisions>
    </reviewItem>
    <reviewItem>
      <errorID>4e268b31-2e8c-498d-8453-4c02403ad0c5</errorID>
      <errorWord>噪音</errorWord>
      <group>L1_Word</group>
      <groupName>字词问题</groupName>
      <ability>L2_Alias</ability>
      <abilityName>也作/曾用词</abilityName>
      <candidateList>
        <item>噪声</item>
      </candidateList>
      <explain>词汇[噪音]为不规范表述或旧称，其规范书面表述为[噪声]。</explain>
      <paraID>5017613C</paraID>
      <start>96</start>
      <end>98</end>
      <status>modified</status>
      <modifiedWord>噪声</modifiedWord>
      <trackRevisions>false</trackRevisions>
    </reviewItem>
    <reviewItem>
      <errorID>0d2a1af2-9262-46ef-90b9-a661dfd08c6b</errorID>
      <errorWord>参考附</errorWord>
      <group>L1_Word</group>
      <groupName>字词问题</groupName>
      <ability>L2_Typo</ability>
      <abilityName>字词错误</abilityName>
      <candidateList>
        <item>参考</item>
      </candidateList>
      <explain/>
      <paraID>183AA9BA</paraID>
      <start>15</start>
      <end>17</end>
      <status>modified</status>
      <modifiedWord>参考</modifiedWord>
      <trackRevisions>false</trackRevisions>
    </reviewItem>
    <reviewItem>
      <errorID>c8256f0b-61eb-4d47-a347-040f207d334c</errorID>
      <errorWord>KW</errorWord>
      <group>L1_Word</group>
      <groupName>字词问题</groupName>
      <ability>L2_Typo</ability>
      <abilityName>字词错误</abilityName>
      <candidateList>
        <item>kW</item>
      </candidateList>
      <explain/>
      <paraID>4F11C970</paraID>
      <start>5</start>
      <end>7</end>
      <status>modified</status>
      <modifiedWord>kW</modifiedWord>
      <trackRevisions>false</trackRevisions>
    </reviewItem>
    <reviewItem>
      <errorID>b7afb9a0-af60-4bad-906e-60b88d7460f3</errorID>
      <errorWord>”、“</errorWord>
      <group>L1_Punc</group>
      <groupName>标点问题</groupName>
      <ability>L2_Punc</ability>
      <abilityName>标点符号检查</abilityName>
      <candidateList>
        <item>”“</item>
      </candidateList>
      <explain>根据国标GB/T 15834-2011《标点符号用法》中的4.5.3.5节，标有引号的并列成分之间、标有书名号的并列成分之间通常不用顿号。如“《红楼梦》《三国演义》《西游记》《水浒传》，是我国长篇小说的四大名著”。</explain>
      <paraID>6AF2F503</paraID>
      <start>35</start>
      <end>37</end>
      <status>modified</status>
      <modifiedWord>”“</modifiedWord>
      <trackRevisions>false</trackRevisions>
    </reviewItem>
    <reviewItem>
      <errorID>64554c5e-e4d7-4ba2-8e31-017b150e8f06</errorID>
      <errorWord>粘结</errorWord>
      <group>L1_Word</group>
      <groupName>字词问题</groupName>
      <ability>L2_Typo</ability>
      <abilityName>字词错误</abilityName>
      <candidateList>
        <item>黏结</item>
      </candidateList>
      <explain>存在发音相同字词的误用。</explain>
      <paraID>416ADEEB</paraID>
      <start>54</start>
      <end>56</end>
      <status>ignored</status>
      <modifiedWord/>
      <trackRevisions>false</trackRevisions>
    </reviewItem>
    <reviewItem>
      <errorID>3818cb99-5830-45d7-9a0d-f5ac2cf9dcd2</errorID>
      <errorWord>~</errorWord>
      <group>L1_Format</group>
      <groupName>格式问题</groupName>
      <ability>L2_HalfPunc</ability>
      <abilityName>全半角检查</abilityName>
      <candidateList>
        <item>～</item>
      </candidateList>
      <explain>文本全半角错误。</explain>
      <paraID>3CAD469D</paraID>
      <start>26</start>
      <end>27</end>
      <status>modified</status>
      <modifiedWord>～</modifiedWord>
      <trackRevisions>false</trackRevisions>
    </reviewItem>
    <reviewItem>
      <errorID>44474b1f-8f4e-4f1a-b21e-18c2c8437bf4</errorID>
      <errorWord>（</errorWord>
      <group>L1_Punc</group>
      <groupName>标点问题</groupName>
      <ability>L2_Punc</ability>
      <abilityName>标点符号检查</abilityName>
      <candidateList/>
      <explain>同一形式括号套用。</explain>
      <paraID>2E218427</paraID>
      <start>17</start>
      <end>18</end>
      <status>ignored</status>
      <modifiedWord/>
      <trackRevisions>false</trackRevisions>
    </reviewItem>
    <reviewItem>
      <errorID>cb21c431-d4c5-4058-86ad-9d49f7ced767</errorID>
      <errorWord>）</errorWord>
      <group>L1_Punc</group>
      <groupName>标点问题</groupName>
      <ability>L2_Punc</ability>
      <abilityName>标点符号检查</abilityName>
      <candidateList/>
      <explain>同一形式括号套用。</explain>
      <paraID>2E218427</paraID>
      <start>21</start>
      <end>22</end>
      <status>ignored</status>
      <modifiedWord/>
      <trackRevisions>false</trackRevisions>
    </reviewItem>
    <reviewItem>
      <errorID>1e26bb44-86cd-432e-8115-9b45baa13786</errorID>
      <errorWord>一</errorWord>
      <group>L1_Word</group>
      <groupName>字词问题</groupName>
      <ability>L2_Typo</ability>
      <abilityName>字词错误</abilityName>
      <candidateList>
        <item>一道</item>
      </candidateList>
      <explain>（～儿）〈副〉一同；一路❸：～走｜～工作。</explain>
      <paraID>4E9ECAE8</paraID>
      <start>59</start>
      <end>61</end>
      <status>modified</status>
      <modifiedWord>一道</modifiedWord>
      <trackRevisions>false</trackRevisions>
    </reviewItem>
    <reviewItem>
      <errorID>d6ac8ba4-253f-49f4-8359-cbe36c21d41f</errorID>
      <errorWord>胶粘剂</errorWord>
      <group>L1_Word</group>
      <groupName>字词问题</groupName>
      <ability>L2_Typo</ability>
      <abilityName>字词错误</abilityName>
      <candidateList>
        <item>胶黏剂</item>
      </candidateList>
      <explain/>
      <paraID>23CF8DE7</paraID>
      <start>41</start>
      <end>44</end>
      <status>ignored</status>
      <modifiedWord/>
      <trackRevisions>false</trackRevisions>
    </reviewItem>
    <reviewItem>
      <errorID>ebec0892-0a5a-4bf0-94b3-56199feb9b16</errorID>
      <errorWord>-</errorWord>
      <group>L1_Punc</group>
      <groupName>标点问题</groupName>
      <ability>L2_Punc</ability>
      <abilityName>标点符号检查</abilityName>
      <candidateList>
        <item>—</item>
      </candidateList>
      <explain>根据国标GB/T 15834-2011《标点符号用法》中的4.13.3.2节，标识相关项目（如时间、地域等）的起止，以及标识数值范围（由阿拉伯数字或汉字数字构成）的起止时，一般用一字线或长浪纹线。如“25～30g”“2011年2月3日—10日”。</explain>
      <paraID>2BDD49E8</paraID>
      <start>21</start>
      <end>22</end>
      <status>modified</status>
      <modifiedWord>—</modifiedWord>
      <trackRevisions>false</trackRevisions>
    </reviewItem>
    <reviewItem>
      <errorID>44f642f8-a2ea-4668-8e97-f752719f82c9</errorID>
      <errorWord>-</errorWord>
      <group>L1_Punc</group>
      <groupName>标点问题</groupName>
      <ability>L2_Punc</ability>
      <abilityName>标点符号检查</abilityName>
      <candidateList>
        <item>—</item>
      </candidateList>
      <explain>根据国标GB/T 15834-2011《标点符号用法》中的4.13.3.2节，标识相关项目（如时间、地域等）的起止，以及标识数值范围（由阿拉伯数字或汉字数字构成）的起止时，一般用一字线或长浪纹线。如“25～30g”“2011年2月3日—10日”。</explain>
      <paraID>2BDD49E8</paraID>
      <start>74</start>
      <end>75</end>
      <status>modified</status>
      <modifiedWord>—</modifiedWord>
      <trackRevisions>false</trackRevisions>
    </reviewItem>
    <reviewItem>
      <errorID>6bef72bf-6447-4a07-b742-7c178a146a1a</errorID>
      <errorWord>划</errorWord>
      <group>L1_Word</group>
      <groupName>字词问题</groupName>
      <ability>L2_Typo</ability>
      <abilityName>字词错误</abilityName>
      <candidateList>
        <item>划和</item>
      </candidateList>
      <explain/>
      <paraID>5BA31782</paraID>
      <start>26</start>
      <end>28</end>
      <status>modified</status>
      <modifiedWord>划和</modifiedWord>
      <trackRevisions>false</trackRevisions>
    </reviewItem>
    <reviewItem>
      <errorID>27c54eb3-f1f5-46d8-8e43-54e15b5540af</errorID>
      <errorWord>份的</errorWord>
      <group>L1_Word</group>
      <groupName>字词问题</groupName>
      <ability>L2_Typo</ability>
      <abilityName>字词错误</abilityName>
      <candidateList>
        <item>份</item>
      </candidateList>
      <explain>❶整体里的一部分：股～。❷（～儿）〈量〉a）用于搭配成组的东西：一～儿饭｜一～儿礼。b）用于报刊、文件等：一～《人民日报》｜本合同一式两～，双方各执一～。❸用在“省、县、年、月”后面，表示划分的单位：省～｜年～。</explain>
      <paraID>71804B9C</paraID>
      <start>35</start>
      <end>36</end>
      <status>modified</status>
      <modifiedWord>份</modifiedWord>
      <trackRevisions>false</trackRevisions>
    </reviewItem>
    <reviewItem>
      <errorID>cc9d98d7-872f-4190-90ce-3f1c12b3683e</errorID>
      <errorWord>需</errorWord>
      <group>L1_Word</group>
      <groupName>字词问题</groupName>
      <ability>L2_Typo</ability>
      <abilityName>字词错误</abilityName>
      <candidateList>
        <item>须</item>
      </candidateList>
      <explain>存在发音相同字词的误用。</explain>
      <paraID>71804B9C</paraID>
      <start>89</start>
      <end>90</end>
      <status>modified</status>
      <modifiedWord>须</modifiedWord>
      <trackRevisions>false</trackRevisions>
    </reviewItem>
    <reviewItem>
      <errorID>3b639193-5775-4183-b483-69ba7c7c9b2e</errorID>
      <errorWord>及盖</errorWord>
      <group>L1_Word</group>
      <groupName>字词问题</groupName>
      <ability>L2_Typo</ability>
      <abilityName>字词错误</abilityName>
      <candidateList>
        <item>加盖</item>
      </candidateList>
      <explain/>
      <paraID>71804B9C</paraID>
      <start>101</start>
      <end>103</end>
      <status>modified</status>
      <modifiedWord>加盖</modifiedWord>
      <trackRevisions>false</trackRevisions>
    </reviewItem>
    <reviewItem>
      <errorID>45d1a64b-e965-43fc-9927-bdf26316dc01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6D96C85D</paraID>
      <start>15</start>
      <end>16</end>
      <status>modified</status>
      <modifiedWord>，</modifiedWord>
      <trackRevisions>false</trackRevisions>
    </reviewItem>
    <reviewItem>
      <errorID>59394c13-5e92-4b27-9989-28a45626ca80</errorID>
      <errorWord>给以</errorWord>
      <group>L1_Word</group>
      <groupName>字词问题</groupName>
      <ability>L2_Typo</ability>
      <abilityName>字词错误</abilityName>
      <candidateList>
        <item>给予</item>
      </candidateList>
      <explain>〈书〉〈动〉给（ɡěi）：～帮助｜～同情｜～亲切的关怀。也作给与。</explain>
      <paraID>6D96C85D</paraID>
      <start>30</start>
      <end>32</end>
      <status>modified</status>
      <modifiedWord>给予</modifiedWord>
      <trackRevisions>false</trackRevisions>
    </reviewItem>
    <reviewItem>
      <errorID>80ca4189-4392-4279-bad7-a8f8bf484799</errorID>
      <errorWord>置</errorWord>
      <group>L1_Word</group>
      <groupName>字词问题</groupName>
      <ability>L2_Typo</ability>
      <abilityName>字词错误</abilityName>
      <candidateList>
        <item>置于</item>
      </candidateList>
      <explain/>
      <paraID>73755C8D</paraID>
      <start>76</start>
      <end>78</end>
      <status>modified</status>
      <modifiedWord>置于</modifiedWord>
      <trackRevisions>false</trackRevisions>
    </reviewItem>
    <reviewItem>
      <errorID>79552950-5258-49f9-9336-f8b7fb5df485</errorID>
      <errorWord>施工的</errorWord>
      <group>L1_Word</group>
      <groupName>字词问题</groupName>
      <ability>L2_Typo</ability>
      <abilityName>字词错误</abilityName>
      <candidateList>
        <item>施工</item>
      </candidateList>
      <explain>〈动〉按照设计的规格和要求建筑房屋、桥梁、道路、水利工程等。</explain>
      <paraID>647CDAE2</paraID>
      <start>91</start>
      <end>93</end>
      <status>modified</status>
      <modifiedWord>施工</modifiedWord>
      <trackRevisions>false</trackRevisions>
    </reviewItem>
    <reviewItem>
      <errorID>25e14e0d-267b-47f1-adcf-b0d567e61e60</errorID>
      <errorWord>涉及到</errorWord>
      <group>L1_Grammar</group>
      <groupName>语法问题</groupName>
      <ability>L2_Grammar</ability>
      <abilityName>语法错误</abilityName>
      <candidateList>
        <item>涉及</item>
      </candidateList>
      <explain>〈动〉牵涉到；关联到：案子～好几个人｜这个问题～面很广。</explain>
      <paraID> 7FD0BB5</paraID>
      <start>56</start>
      <end>58</end>
      <status>modified</status>
      <modifiedWord>涉及</modifiedWord>
      <trackRevisions>false</trackRevisions>
    </reviewItem>
    <reviewItem>
      <errorID>5df672a7-37c2-42fd-a88d-1b59227a0947</errorID>
      <errorWord>等的</errorWord>
      <group>L1_Word</group>
      <groupName>字词问题</groupName>
      <ability>L2_Typo</ability>
      <abilityName>字词错误</abilityName>
      <candidateList>
        <item>等</item>
      </candidateList>
      <explain>〈助〉❶〈书〉用在人称代词或指人的名词后面，表示复数：我～｜彼～。❷表示列举未尽（可以叠用）：北京、天津～地｜纸张文具～～。❸列举后煞尾：长江、黄河、黑龙江、珠江～四大河流。</explain>
      <paraID> 7FD0BB5</paraID>
      <start>86</start>
      <end>87</end>
      <status>modified</status>
      <modifiedWord>等</modifiedWord>
      <trackRevisions>false</trackRevisions>
    </reviewItem>
    <reviewItem>
      <errorID>4dfd377b-364b-43d5-9897-d90fd3ac1adb</errorID>
      <errorWord>必需</errorWord>
      <group>L1_Word</group>
      <groupName>字词问题</groupName>
      <ability>L2_Typo</ability>
      <abilityName>字词错误</abilityName>
      <candidateList>
        <item>必须</item>
      </candidateList>
      <explain>存在发音相同字词的误用。</explain>
      <paraID> 7FD0BB5</paraID>
      <start>105</start>
      <end>107</end>
      <status>modified</status>
      <modifiedWord>必须</modifiedWord>
      <trackRevisions>false</trackRevisions>
    </reviewItem>
    <reviewItem>
      <errorID>bc01d1b6-a435-4012-83e8-c7cf667e65cc</errorID>
      <errorWord>只</errorWord>
      <group>L1_Knowledge</group>
      <groupName>知识性问题</groupName>
      <ability>L2_Knowledge</ability>
      <abilityName>其他知识</abilityName>
      <candidateList>
        <item>支</item>
      </candidateList>
      <explain>请检查“只”是否为量词使用错误，建议修改为“支”。</explain>
      <paraID> 7FD0BB5</paraID>
      <start>110</start>
      <end>111</end>
      <status>modified</status>
      <modifiedWord>支</modifiedWord>
      <trackRevisions>false</trackRevisions>
    </reviewItem>
    <reviewItem>
      <errorID>45dfbe94-7dac-4f89-888a-6bb48bc54fad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 7FD0BB5</paraID>
      <start>143</start>
      <end>144</end>
      <status>modified</status>
      <modifiedWord>，</modifiedWord>
      <trackRevisions>false</trackRevisions>
    </reviewItem>
    <reviewItem>
      <errorID>f5d1b1fe-5d2f-4397-9fb3-4b452f16a25d</errorID>
      <errorWord>作</errorWord>
      <group>L1_Word</group>
      <groupName>字词问题</groupName>
      <ability>L2_Typo</ability>
      <abilityName>字词错误</abilityName>
      <candidateList>
        <item>作中</item>
      </candidateList>
      <explain/>
      <paraID>1E11BF39</paraID>
      <start>43</start>
      <end>45</end>
      <status>modified</status>
      <modifiedWord>作中</modifiedWord>
      <trackRevisions>false</trackRevisions>
    </reviewItem>
    <reviewItem>
      <errorID>bd1e4125-8ed1-4e34-89bf-4ca73e29a78f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5281CD82</paraID>
      <start>2</start>
      <end>3</end>
      <status>modified</status>
      <modifiedWord>（</modifiedWord>
      <trackRevisions>false</trackRevisions>
    </reviewItem>
    <reviewItem>
      <errorID>8ca81689-4dc5-4da5-ae05-a859dfcec19f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5281CD82</paraID>
      <start>4</start>
      <end>5</end>
      <status>modified</status>
      <modifiedWord>）</modifiedWord>
      <trackRevisions>false</trackRevisions>
    </reviewItem>
    <reviewItem>
      <errorID>d33b6f5f-e2d7-459d-9cbd-a414c513a343</errorID>
      <errorWord>引伸</errorWord>
      <group>L1_Word</group>
      <groupName>字词问题</groupName>
      <ability>L2_Variant</ability>
      <abilityName>异形词</abilityName>
      <candidateList>
        <item>引申</item>
      </candidateList>
      <explain>词汇[引伸]的规范词形写作[引申]。</explain>
      <paraID>5A99D815</paraID>
      <start>205</start>
      <end>207</end>
      <status>modified</status>
      <modifiedWord>引申</modifiedWord>
      <trackRevisions>false</trackRevisions>
    </reviewItem>
    <reviewItem>
      <errorID>bfd1926d-543e-4a6d-9a71-de5bab5bd420</errorID>
      <errorWord>;</errorWord>
      <group>L1_Format</group>
      <groupName>格式问题</groupName>
      <ability>L2_HalfPunc</ability>
      <abilityName>全半角检查</abilityName>
      <candidateList>
        <item>；</item>
      </candidateList>
      <explain>文本全半角错误。</explain>
      <paraID>7C553A5F</paraID>
      <start>18</start>
      <end>19</end>
      <status>modified</status>
      <modifiedWord>；</modifiedWord>
      <trackRevisions>false</trackRevisions>
    </reviewItem>
    <reviewItem>
      <errorID>3a9a8506-6bd9-4ed9-a780-2fc0e395699b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573D4619</paraID>
      <start>0</start>
      <end>2</end>
      <status>modified</status>
      <modifiedWord>1.</modifiedWord>
      <trackRevisions>false</trackRevisions>
    </reviewItem>
    <reviewItem>
      <errorID>cea3ff61-127a-4358-92af-28bd72c6286a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635AD1AF</paraID>
      <start>0</start>
      <end>2</end>
      <status>modified</status>
      <modifiedWord>2.</modifiedWord>
      <trackRevisions>false</trackRevisions>
    </reviewItem>
    <reviewItem>
      <errorID>8a641697-7617-4b96-9103-d35e5ed285cd</errorID>
      <errorWord>无起泡</errorWord>
      <group>L1_Word</group>
      <groupName>字词问题</groupName>
      <ability>L2_Typo</ability>
      <abilityName>字词错误</abilityName>
      <candidateList>
        <item>无气泡</item>
      </candidateList>
      <explain>存在发音相同字词的误用。</explain>
      <paraID>4C9DC945</paraID>
      <start>69</start>
      <end>72</end>
      <status>modified</status>
      <modifiedWord>无气泡</modifiedWord>
      <trackRevisions>false</trackRevisions>
    </reviewItem>
    <reviewItem>
      <errorID>9e4278b9-5384-47f8-b5fb-a9fd851a8187</errorID>
      <errorWord>（</errorWord>
      <group>L1_Word</group>
      <groupName>字词问题</groupName>
      <ability>L2_Typo</ability>
      <abilityName>字词错误</abilityName>
      <candidateList>
        <item>（不</item>
      </candidateList>
      <explain/>
      <paraID>3167087E</paraID>
      <start>20</start>
      <end>22</end>
      <status>modified</status>
      <modifiedWord>（不</modifiedWord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E62DAFD-8A05-4A35-AE96-B320998A670D}">
  <ds:schemaRefs/>
</ds:datastoreItem>
</file>

<file path=customXml/itemProps3.xml><?xml version="1.0" encoding="utf-8"?>
<ds:datastoreItem xmlns:ds="http://schemas.openxmlformats.org/officeDocument/2006/customXml" ds:itemID="{2891b6ef-6f76-4415-aeb1-71f9b559c6c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8021</Words>
  <Characters>9216</Characters>
  <Lines>73</Lines>
  <Paragraphs>20</Paragraphs>
  <TotalTime>4</TotalTime>
  <ScaleCrop>false</ScaleCrop>
  <LinksUpToDate>false</LinksUpToDate>
  <CharactersWithSpaces>9470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2026-02-05T06:19:00Z</dcterms:created>
  <dc:creator>PanMing.Huang (黄盘明)</dc:creator>
  <cp:lastModifiedBy>虎</cp:lastModifiedBy>
  <cp:lastPrinted>2026-01-29T01:58:00Z</cp:lastPrinted>
  <dcterms:modified xsi:type="dcterms:W3CDTF">2026-02-13T07:44:48Z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eyJoZGlkIjoiNDNiZjM0NzJhYTY2M2MxMDIzNmFhYmIzNTE2NjRkNmMiLCJ1c2VySWQiOiIxMjI1NjcyNTIxIn0=</vt:lpwstr>
  </property>
  <property fmtid="{D5CDD505-2E9C-101B-9397-08002B2CF9AE}" pid="3" name="KSOProductBuildVer">
    <vt:lpwstr>2052-12.1.0.24657</vt:lpwstr>
  </property>
  <property fmtid="{D5CDD505-2E9C-101B-9397-08002B2CF9AE}" pid="4" name="ICV">
    <vt:lpwstr>509ECEE08C3D4B67A2823D7E9E52D193_12</vt:lpwstr>
  </property>
</Properties>
</file>