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b/>
          <w:sz w:val="44"/>
          <w:szCs w:val="44"/>
        </w:rPr>
      </w:pPr>
      <w:r>
        <w:rPr>
          <w:rFonts w:hint="eastAsia" w:ascii="宋体" w:hAnsi="宋体"/>
          <w:b/>
          <w:sz w:val="44"/>
          <w:szCs w:val="44"/>
        </w:rPr>
        <w:t>202</w:t>
      </w:r>
      <w:r>
        <w:rPr>
          <w:rFonts w:ascii="宋体" w:hAnsi="宋体"/>
          <w:b/>
          <w:sz w:val="44"/>
          <w:szCs w:val="44"/>
        </w:rPr>
        <w:t>6</w:t>
      </w:r>
      <w:r>
        <w:rPr>
          <w:rFonts w:hint="eastAsia" w:ascii="宋体" w:hAnsi="宋体"/>
          <w:b/>
          <w:sz w:val="44"/>
          <w:szCs w:val="44"/>
        </w:rPr>
        <w:t>年度全厂计量工器具检定服务</w:t>
      </w:r>
    </w:p>
    <w:p>
      <w:pPr>
        <w:snapToGrid w:val="0"/>
        <w:jc w:val="center"/>
        <w:rPr>
          <w:rFonts w:ascii="宋体" w:hAnsi="宋体"/>
          <w:spacing w:val="16"/>
          <w:sz w:val="44"/>
          <w:szCs w:val="44"/>
        </w:rPr>
      </w:pPr>
      <w:r>
        <w:rPr>
          <w:rFonts w:hint="eastAsia" w:ascii="宋体" w:hAnsi="宋体"/>
          <w:b/>
          <w:spacing w:val="10"/>
          <w:sz w:val="44"/>
          <w:szCs w:val="44"/>
        </w:rPr>
        <w:t>招标技术文件</w:t>
      </w:r>
    </w:p>
    <w:p>
      <w:pPr>
        <w:adjustRightInd w:val="0"/>
        <w:snapToGrid w:val="0"/>
        <w:textAlignment w:val="baseline"/>
        <w:rPr>
          <w:rFonts w:ascii="宋体" w:hAnsi="宋体"/>
          <w:spacing w:val="16"/>
          <w:sz w:val="24"/>
        </w:rPr>
      </w:pPr>
    </w:p>
    <w:p>
      <w:pPr>
        <w:rPr>
          <w:rFonts w:ascii="宋体" w:hAnsi="宋体"/>
          <w:b/>
          <w:spacing w:val="16"/>
          <w:sz w:val="24"/>
        </w:rPr>
      </w:pPr>
      <w:r>
        <w:rPr>
          <w:rFonts w:hint="eastAsia" w:ascii="宋体" w:hAnsi="宋体"/>
          <w:b/>
          <w:spacing w:val="10"/>
          <w:sz w:val="24"/>
          <w:lang w:eastAsia="zh-CN"/>
        </w:rPr>
        <w:t>一、</w:t>
      </w:r>
      <w:r>
        <w:rPr>
          <w:rFonts w:hint="eastAsia" w:ascii="宋体" w:hAnsi="宋体"/>
          <w:b/>
          <w:spacing w:val="10"/>
          <w:sz w:val="24"/>
        </w:rPr>
        <w:t>送检工器具</w:t>
      </w:r>
      <w:r>
        <w:rPr>
          <w:rFonts w:hint="eastAsia" w:ascii="宋体" w:hAnsi="宋体"/>
          <w:b/>
          <w:spacing w:val="16"/>
          <w:sz w:val="24"/>
        </w:rPr>
        <w:t>概况</w:t>
      </w:r>
    </w:p>
    <w:p>
      <w:pPr>
        <w:ind w:firstLine="544" w:firstLineChars="200"/>
        <w:rPr>
          <w:rFonts w:ascii="宋体" w:hAnsi="宋体"/>
          <w:spacing w:val="16"/>
          <w:sz w:val="24"/>
        </w:rPr>
      </w:pPr>
      <w:r>
        <w:rPr>
          <w:rFonts w:hint="eastAsia" w:ascii="宋体" w:hAnsi="宋体"/>
          <w:spacing w:val="16"/>
          <w:sz w:val="24"/>
        </w:rPr>
        <w:t>昆纤公司2026年度计量工器具检定、检验、校验设备主要包含压力表、变送器、电子汽车衡、地上电子衡、氧分析仪、流量计、PH计温度变送器、温度计、电子天平、密度仪、气相色谱仪、色差仪、折光率仪、百分表、千分表、外径千分尺、杠杆千分表、游标卡尺、测振仪、测温仪等项目（检验设备清单详见附件明细）。</w:t>
      </w:r>
    </w:p>
    <w:p>
      <w:pPr>
        <w:rPr>
          <w:rFonts w:hint="eastAsia" w:ascii="宋体" w:hAnsi="宋体"/>
          <w:b/>
          <w:spacing w:val="16"/>
          <w:sz w:val="24"/>
        </w:rPr>
      </w:pPr>
    </w:p>
    <w:p>
      <w:pPr>
        <w:rPr>
          <w:rFonts w:ascii="宋体" w:hAnsi="宋体"/>
          <w:b/>
          <w:spacing w:val="16"/>
          <w:sz w:val="24"/>
        </w:rPr>
      </w:pPr>
      <w:r>
        <w:rPr>
          <w:rFonts w:hint="eastAsia" w:ascii="宋体" w:hAnsi="宋体"/>
          <w:b/>
          <w:spacing w:val="16"/>
          <w:sz w:val="24"/>
          <w:lang w:eastAsia="zh-CN"/>
        </w:rPr>
        <w:t>二、</w:t>
      </w:r>
      <w:r>
        <w:rPr>
          <w:rFonts w:hint="eastAsia" w:ascii="宋体" w:hAnsi="宋体"/>
          <w:b/>
          <w:spacing w:val="16"/>
          <w:sz w:val="24"/>
        </w:rPr>
        <w:t>技术标准和规范</w:t>
      </w:r>
    </w:p>
    <w:p>
      <w:pPr>
        <w:rPr>
          <w:rFonts w:ascii="宋体" w:hAnsi="宋体"/>
          <w:spacing w:val="16"/>
          <w:sz w:val="24"/>
        </w:rPr>
      </w:pPr>
    </w:p>
    <w:p>
      <w:pPr>
        <w:ind w:firstLine="544" w:firstLineChars="200"/>
        <w:rPr>
          <w:rFonts w:ascii="宋体" w:hAnsi="宋体"/>
          <w:spacing w:val="16"/>
          <w:sz w:val="24"/>
        </w:rPr>
      </w:pPr>
      <w:r>
        <w:rPr>
          <w:rFonts w:hint="eastAsia" w:ascii="宋体" w:hAnsi="宋体"/>
          <w:spacing w:val="16"/>
          <w:sz w:val="24"/>
        </w:rPr>
        <w:t>检定的技术依据主要包括 国家计量检定规程（JJG）、国家计量技术规范（JJF） 及行业标准：</w:t>
      </w:r>
    </w:p>
    <w:p>
      <w:pPr>
        <w:rPr>
          <w:rFonts w:ascii="宋体" w:hAnsi="宋体"/>
          <w:spacing w:val="16"/>
          <w:sz w:val="24"/>
        </w:rPr>
      </w:pPr>
      <w:r>
        <w:rPr>
          <w:rFonts w:hint="eastAsia" w:ascii="宋体" w:hAnsi="宋体"/>
          <w:spacing w:val="16"/>
          <w:sz w:val="24"/>
        </w:rPr>
        <w:t>1. 通用标准</w:t>
      </w:r>
    </w:p>
    <w:p>
      <w:pPr>
        <w:ind w:firstLine="544" w:firstLineChars="200"/>
        <w:rPr>
          <w:rFonts w:ascii="宋体" w:hAnsi="宋体"/>
          <w:spacing w:val="16"/>
          <w:sz w:val="24"/>
        </w:rPr>
      </w:pPr>
      <w:r>
        <w:rPr>
          <w:rFonts w:hint="eastAsia" w:ascii="宋体" w:hAnsi="宋体"/>
          <w:spacing w:val="16"/>
          <w:sz w:val="24"/>
        </w:rPr>
        <w:t xml:space="preserve">JJF 1001-2011 </w:t>
      </w:r>
      <w:r>
        <w:rPr>
          <w:rFonts w:ascii="宋体" w:hAnsi="宋体"/>
          <w:spacing w:val="16"/>
          <w:sz w:val="24"/>
        </w:rPr>
        <w:t xml:space="preserve">     </w:t>
      </w:r>
      <w:r>
        <w:rPr>
          <w:rFonts w:hint="eastAsia" w:ascii="宋体" w:hAnsi="宋体"/>
          <w:spacing w:val="16"/>
          <w:sz w:val="24"/>
        </w:rPr>
        <w:t>《通用计量术语及定义》；</w:t>
      </w:r>
    </w:p>
    <w:p>
      <w:pPr>
        <w:ind w:firstLine="544" w:firstLineChars="200"/>
        <w:rPr>
          <w:rFonts w:ascii="宋体" w:hAnsi="宋体"/>
          <w:spacing w:val="16"/>
          <w:sz w:val="24"/>
        </w:rPr>
      </w:pPr>
      <w:r>
        <w:rPr>
          <w:rFonts w:hint="eastAsia" w:ascii="宋体" w:hAnsi="宋体"/>
          <w:spacing w:val="16"/>
          <w:sz w:val="24"/>
        </w:rPr>
        <w:t xml:space="preserve">JJF 1059.1-2012 </w:t>
      </w:r>
      <w:r>
        <w:rPr>
          <w:rFonts w:ascii="宋体" w:hAnsi="宋体"/>
          <w:spacing w:val="16"/>
          <w:sz w:val="24"/>
        </w:rPr>
        <w:t xml:space="preserve">   </w:t>
      </w:r>
      <w:r>
        <w:rPr>
          <w:rFonts w:hint="eastAsia" w:ascii="宋体" w:hAnsi="宋体"/>
          <w:spacing w:val="16"/>
          <w:sz w:val="24"/>
        </w:rPr>
        <w:t>《测量不确定度评定与表示》；</w:t>
      </w:r>
    </w:p>
    <w:p>
      <w:pPr>
        <w:ind w:firstLine="544" w:firstLineChars="200"/>
        <w:rPr>
          <w:rFonts w:ascii="宋体" w:hAnsi="宋体"/>
          <w:spacing w:val="16"/>
          <w:sz w:val="24"/>
        </w:rPr>
      </w:pPr>
      <w:r>
        <w:rPr>
          <w:rFonts w:hint="eastAsia" w:ascii="宋体" w:hAnsi="宋体"/>
          <w:spacing w:val="16"/>
          <w:sz w:val="24"/>
        </w:rPr>
        <w:t>ISO/IEC 17025</w:t>
      </w:r>
      <w:r>
        <w:rPr>
          <w:rFonts w:ascii="宋体" w:hAnsi="宋体"/>
          <w:spacing w:val="16"/>
          <w:sz w:val="24"/>
        </w:rPr>
        <w:t xml:space="preserve">      </w:t>
      </w:r>
      <w:r>
        <w:rPr>
          <w:rFonts w:hint="eastAsia" w:ascii="宋体" w:hAnsi="宋体"/>
          <w:spacing w:val="16"/>
          <w:sz w:val="24"/>
        </w:rPr>
        <w:t>《检测和校准实验室能力的通用要求》。</w:t>
      </w:r>
    </w:p>
    <w:p>
      <w:pPr>
        <w:ind w:firstLine="544" w:firstLineChars="200"/>
        <w:rPr>
          <w:rFonts w:ascii="宋体" w:hAnsi="宋体"/>
          <w:spacing w:val="16"/>
          <w:sz w:val="24"/>
        </w:rPr>
      </w:pPr>
      <w:r>
        <w:rPr>
          <w:rFonts w:hint="eastAsia" w:ascii="宋体" w:hAnsi="宋体"/>
          <w:spacing w:val="16"/>
          <w:sz w:val="24"/>
        </w:rPr>
        <w:t>JJG</w:t>
      </w:r>
      <w:r>
        <w:rPr>
          <w:rFonts w:ascii="宋体" w:hAnsi="宋体"/>
          <w:spacing w:val="16"/>
          <w:sz w:val="24"/>
        </w:rPr>
        <w:t xml:space="preserve">               </w:t>
      </w:r>
      <w:r>
        <w:rPr>
          <w:rFonts w:hint="eastAsia" w:ascii="宋体" w:hAnsi="宋体"/>
          <w:spacing w:val="16"/>
          <w:sz w:val="24"/>
        </w:rPr>
        <w:t>《国家计量检定规程》</w:t>
      </w:r>
    </w:p>
    <w:p>
      <w:pPr>
        <w:ind w:firstLine="544" w:firstLineChars="200"/>
        <w:rPr>
          <w:rFonts w:ascii="宋体" w:hAnsi="宋体"/>
          <w:spacing w:val="16"/>
          <w:sz w:val="24"/>
        </w:rPr>
      </w:pPr>
      <w:r>
        <w:rPr>
          <w:rFonts w:hint="eastAsia" w:ascii="宋体" w:hAnsi="宋体"/>
          <w:spacing w:val="16"/>
          <w:sz w:val="24"/>
        </w:rPr>
        <w:t>JJF</w:t>
      </w:r>
      <w:r>
        <w:rPr>
          <w:rFonts w:ascii="宋体" w:hAnsi="宋体"/>
          <w:spacing w:val="16"/>
          <w:sz w:val="24"/>
        </w:rPr>
        <w:t xml:space="preserve">               </w:t>
      </w:r>
      <w:r>
        <w:rPr>
          <w:rFonts w:hint="eastAsia" w:ascii="宋体" w:hAnsi="宋体"/>
          <w:spacing w:val="16"/>
          <w:sz w:val="24"/>
        </w:rPr>
        <w:t>《国家计量技术规范》</w:t>
      </w:r>
    </w:p>
    <w:p>
      <w:pPr>
        <w:ind w:firstLine="3264" w:firstLineChars="1200"/>
        <w:rPr>
          <w:rFonts w:ascii="宋体" w:hAnsi="宋体"/>
          <w:spacing w:val="16"/>
          <w:sz w:val="24"/>
        </w:rPr>
      </w:pPr>
      <w:r>
        <w:rPr>
          <w:rFonts w:hint="eastAsia" w:ascii="宋体" w:hAnsi="宋体"/>
          <w:spacing w:val="16"/>
          <w:sz w:val="24"/>
        </w:rPr>
        <w:t>《中华人民共和国计量法》（2022年修订）</w:t>
      </w:r>
    </w:p>
    <w:p>
      <w:pPr>
        <w:ind w:firstLine="3264" w:firstLineChars="1200"/>
        <w:rPr>
          <w:rFonts w:ascii="宋体" w:hAnsi="宋体"/>
          <w:spacing w:val="16"/>
          <w:sz w:val="24"/>
        </w:rPr>
      </w:pPr>
      <w:r>
        <w:rPr>
          <w:rFonts w:hint="eastAsia" w:ascii="宋体" w:hAnsi="宋体"/>
          <w:spacing w:val="16"/>
          <w:sz w:val="24"/>
        </w:rPr>
        <w:t>《</w:t>
      </w:r>
      <w:r>
        <w:rPr>
          <w:rFonts w:hint="eastAsia" w:ascii="宋体" w:hAnsi="宋体"/>
          <w:spacing w:val="16"/>
          <w:sz w:val="24"/>
          <w:lang w:eastAsia="zh-CN"/>
        </w:rPr>
        <w:t>中华人民共和国强制检定的工作计量器具检定管理办法</w:t>
      </w:r>
      <w:r>
        <w:rPr>
          <w:rFonts w:hint="eastAsia" w:ascii="宋体" w:hAnsi="宋体"/>
          <w:spacing w:val="16"/>
          <w:sz w:val="24"/>
        </w:rPr>
        <w:t>》</w:t>
      </w:r>
    </w:p>
    <w:p>
      <w:pPr>
        <w:ind w:firstLine="544" w:firstLineChars="200"/>
        <w:rPr>
          <w:rFonts w:ascii="宋体" w:hAnsi="宋体"/>
          <w:spacing w:val="16"/>
          <w:sz w:val="24"/>
        </w:rPr>
      </w:pPr>
      <w:r>
        <w:rPr>
          <w:rFonts w:hint="eastAsia" w:ascii="宋体" w:hAnsi="宋体"/>
          <w:spacing w:val="16"/>
          <w:sz w:val="24"/>
        </w:rPr>
        <w:t>JJG 52-2013</w:t>
      </w:r>
      <w:r>
        <w:rPr>
          <w:rFonts w:ascii="宋体" w:hAnsi="宋体"/>
          <w:spacing w:val="16"/>
          <w:sz w:val="24"/>
        </w:rPr>
        <w:t xml:space="preserve">        </w:t>
      </w:r>
      <w:r>
        <w:rPr>
          <w:rFonts w:hint="eastAsia" w:ascii="宋体" w:hAnsi="宋体"/>
          <w:spacing w:val="16"/>
          <w:sz w:val="24"/>
        </w:rPr>
        <w:t>《弹性元件式一般压力表》压力表</w:t>
      </w:r>
    </w:p>
    <w:p>
      <w:pPr>
        <w:rPr>
          <w:rFonts w:ascii="宋体" w:hAnsi="宋体"/>
          <w:spacing w:val="16"/>
          <w:sz w:val="24"/>
        </w:rPr>
      </w:pPr>
      <w:r>
        <w:rPr>
          <w:rFonts w:hint="eastAsia" w:ascii="宋体" w:hAnsi="宋体"/>
          <w:spacing w:val="16"/>
          <w:sz w:val="24"/>
        </w:rPr>
        <w:tab/>
      </w:r>
      <w:r>
        <w:rPr>
          <w:rFonts w:ascii="宋体" w:hAnsi="宋体"/>
          <w:spacing w:val="16"/>
          <w:sz w:val="24"/>
        </w:rPr>
        <w:t xml:space="preserve"> </w:t>
      </w:r>
      <w:r>
        <w:rPr>
          <w:rFonts w:hint="eastAsia" w:ascii="宋体" w:hAnsi="宋体"/>
          <w:spacing w:val="16"/>
          <w:sz w:val="24"/>
        </w:rPr>
        <w:t>JJG 130-2011</w:t>
      </w:r>
      <w:r>
        <w:rPr>
          <w:rFonts w:ascii="宋体" w:hAnsi="宋体"/>
          <w:spacing w:val="16"/>
          <w:sz w:val="24"/>
        </w:rPr>
        <w:t xml:space="preserve">       </w:t>
      </w:r>
      <w:r>
        <w:rPr>
          <w:rFonts w:hint="eastAsia" w:ascii="宋体" w:hAnsi="宋体"/>
          <w:spacing w:val="16"/>
          <w:sz w:val="24"/>
        </w:rPr>
        <w:t>《工作用玻璃液体温度计》温度计</w:t>
      </w:r>
    </w:p>
    <w:p>
      <w:pPr>
        <w:rPr>
          <w:rFonts w:ascii="宋体" w:hAnsi="宋体"/>
          <w:spacing w:val="16"/>
          <w:sz w:val="24"/>
        </w:rPr>
      </w:pPr>
      <w:r>
        <w:rPr>
          <w:rFonts w:hint="eastAsia" w:ascii="宋体" w:hAnsi="宋体"/>
          <w:spacing w:val="16"/>
          <w:sz w:val="24"/>
        </w:rPr>
        <w:tab/>
      </w:r>
      <w:r>
        <w:rPr>
          <w:rFonts w:ascii="宋体" w:hAnsi="宋体"/>
          <w:spacing w:val="16"/>
          <w:sz w:val="24"/>
        </w:rPr>
        <w:t xml:space="preserve"> </w:t>
      </w:r>
      <w:r>
        <w:rPr>
          <w:rFonts w:hint="eastAsia" w:ascii="宋体" w:hAnsi="宋体"/>
          <w:spacing w:val="16"/>
          <w:sz w:val="24"/>
        </w:rPr>
        <w:t>JJG 1036-2022</w:t>
      </w:r>
      <w:r>
        <w:rPr>
          <w:rFonts w:ascii="宋体" w:hAnsi="宋体"/>
          <w:spacing w:val="16"/>
          <w:sz w:val="24"/>
        </w:rPr>
        <w:t xml:space="preserve">      </w:t>
      </w:r>
      <w:r>
        <w:rPr>
          <w:rFonts w:hint="eastAsia" w:ascii="宋体" w:hAnsi="宋体"/>
          <w:spacing w:val="16"/>
          <w:sz w:val="24"/>
        </w:rPr>
        <w:t>《电子天平》电子天平</w:t>
      </w:r>
    </w:p>
    <w:p>
      <w:pPr>
        <w:rPr>
          <w:rFonts w:ascii="宋体" w:hAnsi="宋体"/>
          <w:spacing w:val="16"/>
          <w:sz w:val="24"/>
        </w:rPr>
      </w:pPr>
      <w:r>
        <w:rPr>
          <w:rFonts w:hint="eastAsia" w:ascii="宋体" w:hAnsi="宋体"/>
          <w:spacing w:val="16"/>
          <w:sz w:val="24"/>
        </w:rPr>
        <w:tab/>
      </w:r>
      <w:r>
        <w:rPr>
          <w:rFonts w:ascii="宋体" w:hAnsi="宋体"/>
          <w:spacing w:val="16"/>
          <w:sz w:val="24"/>
        </w:rPr>
        <w:t xml:space="preserve"> </w:t>
      </w:r>
      <w:r>
        <w:rPr>
          <w:rFonts w:hint="eastAsia" w:ascii="宋体" w:hAnsi="宋体"/>
          <w:spacing w:val="16"/>
          <w:sz w:val="24"/>
        </w:rPr>
        <w:t>JJG 30-2012</w:t>
      </w:r>
      <w:r>
        <w:rPr>
          <w:rFonts w:ascii="宋体" w:hAnsi="宋体"/>
          <w:spacing w:val="16"/>
          <w:sz w:val="24"/>
        </w:rPr>
        <w:t xml:space="preserve">        </w:t>
      </w:r>
      <w:r>
        <w:rPr>
          <w:rFonts w:hint="eastAsia" w:ascii="宋体" w:hAnsi="宋体"/>
          <w:spacing w:val="16"/>
          <w:sz w:val="24"/>
        </w:rPr>
        <w:t>《通用卡尺》游标卡尺</w:t>
      </w:r>
    </w:p>
    <w:p>
      <w:pPr>
        <w:rPr>
          <w:rFonts w:ascii="宋体" w:hAnsi="宋体"/>
          <w:spacing w:val="16"/>
          <w:sz w:val="24"/>
        </w:rPr>
      </w:pPr>
      <w:r>
        <w:rPr>
          <w:rFonts w:hint="eastAsia" w:ascii="宋体" w:hAnsi="宋体"/>
          <w:spacing w:val="16"/>
          <w:sz w:val="24"/>
        </w:rPr>
        <w:tab/>
      </w:r>
      <w:r>
        <w:rPr>
          <w:rFonts w:ascii="宋体" w:hAnsi="宋体"/>
          <w:spacing w:val="16"/>
          <w:sz w:val="24"/>
        </w:rPr>
        <w:t xml:space="preserve"> </w:t>
      </w:r>
      <w:r>
        <w:rPr>
          <w:rFonts w:hint="eastAsia" w:ascii="宋体" w:hAnsi="宋体"/>
          <w:spacing w:val="16"/>
          <w:sz w:val="24"/>
        </w:rPr>
        <w:t>JJG 1037-2022</w:t>
      </w:r>
      <w:r>
        <w:rPr>
          <w:rFonts w:ascii="宋体" w:hAnsi="宋体"/>
          <w:spacing w:val="16"/>
          <w:sz w:val="24"/>
        </w:rPr>
        <w:t xml:space="preserve">      </w:t>
      </w:r>
      <w:r>
        <w:rPr>
          <w:rFonts w:hint="eastAsia" w:ascii="宋体" w:hAnsi="宋体"/>
          <w:spacing w:val="16"/>
          <w:sz w:val="24"/>
        </w:rPr>
        <w:t>《气体容积式流量计》气体流量计</w:t>
      </w:r>
    </w:p>
    <w:p>
      <w:pPr>
        <w:rPr>
          <w:rFonts w:ascii="宋体" w:hAnsi="宋体"/>
          <w:b/>
          <w:spacing w:val="16"/>
          <w:sz w:val="24"/>
        </w:rPr>
      </w:pPr>
    </w:p>
    <w:p>
      <w:pPr>
        <w:rPr>
          <w:rFonts w:ascii="宋体" w:hAnsi="宋体"/>
          <w:b/>
          <w:spacing w:val="16"/>
          <w:sz w:val="24"/>
        </w:rPr>
      </w:pPr>
      <w:r>
        <w:rPr>
          <w:rFonts w:hint="eastAsia" w:ascii="宋体" w:hAnsi="宋体"/>
          <w:b/>
          <w:spacing w:val="16"/>
          <w:sz w:val="24"/>
          <w:lang w:eastAsia="zh-CN"/>
        </w:rPr>
        <w:t>三、</w:t>
      </w:r>
      <w:r>
        <w:rPr>
          <w:rFonts w:hint="eastAsia" w:ascii="宋体" w:hAnsi="宋体"/>
          <w:b/>
          <w:spacing w:val="16"/>
          <w:sz w:val="24"/>
        </w:rPr>
        <w:t>服务内容</w:t>
      </w:r>
    </w:p>
    <w:p>
      <w:pPr>
        <w:ind w:firstLine="480" w:firstLineChars="200"/>
        <w:rPr>
          <w:rFonts w:ascii="宋体" w:hAnsi="宋体"/>
          <w:sz w:val="24"/>
        </w:rPr>
      </w:pPr>
      <w:r>
        <w:rPr>
          <w:rFonts w:hint="eastAsia" w:ascii="宋体" w:hAnsi="宋体"/>
          <w:sz w:val="24"/>
        </w:rPr>
        <w:t>1.服务内容</w:t>
      </w:r>
    </w:p>
    <w:p>
      <w:pPr>
        <w:ind w:firstLine="480" w:firstLineChars="200"/>
        <w:rPr>
          <w:rFonts w:ascii="宋体" w:hAnsi="宋体"/>
          <w:sz w:val="24"/>
        </w:rPr>
      </w:pPr>
      <w:r>
        <w:rPr>
          <w:rFonts w:hint="eastAsia" w:ascii="宋体" w:hAnsi="宋体"/>
          <w:sz w:val="24"/>
        </w:rPr>
        <w:t>1.1</w:t>
      </w:r>
      <w:bookmarkStart w:id="0" w:name="_Hlk190333573"/>
      <w:r>
        <w:rPr>
          <w:rFonts w:hint="eastAsia" w:ascii="宋体" w:hAnsi="宋体"/>
          <w:sz w:val="24"/>
        </w:rPr>
        <w:t>昆明醋酸纤维有限公司（甲方）委托承包商（乙方）负责</w:t>
      </w:r>
      <w:bookmarkEnd w:id="0"/>
      <w:bookmarkStart w:id="1" w:name="_Hlk192851861"/>
      <w:r>
        <w:rPr>
          <w:rFonts w:hint="eastAsia" w:ascii="宋体" w:hAnsi="宋体"/>
          <w:sz w:val="24"/>
        </w:rPr>
        <w:t>对全厂A、</w:t>
      </w:r>
      <w:r>
        <w:rPr>
          <w:rFonts w:ascii="宋体" w:hAnsi="宋体"/>
          <w:sz w:val="24"/>
        </w:rPr>
        <w:t>B</w:t>
      </w:r>
      <w:r>
        <w:rPr>
          <w:rFonts w:hint="eastAsia" w:ascii="宋体" w:hAnsi="宋体"/>
          <w:sz w:val="24"/>
        </w:rPr>
        <w:t>类计量设备、计量器具、标准器具等设备的检定、检验、校准、比对</w:t>
      </w:r>
      <w:bookmarkEnd w:id="1"/>
      <w:r>
        <w:rPr>
          <w:rFonts w:hint="eastAsia" w:ascii="宋体" w:hAnsi="宋体"/>
          <w:sz w:val="24"/>
        </w:rPr>
        <w:t>服务。</w:t>
      </w:r>
    </w:p>
    <w:p>
      <w:pPr>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检定范围</w:t>
      </w:r>
    </w:p>
    <w:p>
      <w:pPr>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采购名称：实验室设备检验、计量标准器具检验、全厂可燃气体和有毒气体检测仪、温湿度仪年度校验、仪表检验。（详见附件：1、附件：2、附件：3）</w:t>
      </w:r>
    </w:p>
    <w:p>
      <w:pPr>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器具信息：昆明醋酸纤维有限公司（甲方）委托检定、检验、校准、比对服务的计量器具名称、型号、编号、数量详见附件：1、附件：2、附件：3。</w:t>
      </w:r>
    </w:p>
    <w:p>
      <w:pPr>
        <w:ind w:firstLine="480" w:firstLineChars="200"/>
        <w:rPr>
          <w:rFonts w:ascii="宋体" w:hAnsi="宋体"/>
          <w:sz w:val="24"/>
        </w:rPr>
      </w:pPr>
      <w:r>
        <w:rPr>
          <w:rFonts w:ascii="宋体" w:hAnsi="宋体"/>
          <w:sz w:val="24"/>
        </w:rPr>
        <w:t>2.3</w:t>
      </w:r>
      <w:r>
        <w:rPr>
          <w:rFonts w:hint="eastAsia" w:ascii="宋体" w:hAnsi="宋体"/>
          <w:sz w:val="24"/>
        </w:rPr>
        <w:t>检定类别：</w:t>
      </w:r>
      <w:r>
        <w:rPr>
          <w:rFonts w:hint="eastAsia" w:ascii="宋体" w:hAnsi="宋体"/>
          <w:sz w:val="24"/>
        </w:rPr>
        <w:sym w:font="Wingdings 2" w:char="F0A2"/>
      </w:r>
      <w:r>
        <w:rPr>
          <w:rFonts w:hint="eastAsia" w:ascii="宋体" w:hAnsi="宋体"/>
          <w:sz w:val="24"/>
        </w:rPr>
        <w:t xml:space="preserve">首次检定 </w:t>
      </w:r>
      <w:r>
        <w:rPr>
          <w:rFonts w:hint="eastAsia" w:ascii="宋体" w:hAnsi="宋体"/>
          <w:sz w:val="24"/>
        </w:rPr>
        <w:sym w:font="Wingdings 2" w:char="F0A2"/>
      </w:r>
      <w:r>
        <w:rPr>
          <w:rFonts w:hint="eastAsia" w:ascii="宋体" w:hAnsi="宋体"/>
          <w:sz w:val="24"/>
        </w:rPr>
        <w:t xml:space="preserve">后续检定 </w:t>
      </w:r>
      <w:r>
        <w:rPr>
          <w:rFonts w:hint="eastAsia" w:ascii="宋体" w:hAnsi="宋体"/>
          <w:sz w:val="24"/>
        </w:rPr>
        <w:sym w:font="Wingdings 2" w:char="F0A2"/>
      </w:r>
      <w:r>
        <w:rPr>
          <w:rFonts w:hint="eastAsia" w:ascii="宋体" w:hAnsi="宋体"/>
          <w:sz w:val="24"/>
        </w:rPr>
        <w:t xml:space="preserve">定期检定 </w:t>
      </w:r>
      <w:r>
        <w:rPr>
          <w:rFonts w:hint="eastAsia" w:ascii="宋体" w:hAnsi="宋体"/>
          <w:sz w:val="24"/>
        </w:rPr>
        <w:sym w:font="Wingdings 2" w:char="F0A2"/>
      </w:r>
      <w:r>
        <w:rPr>
          <w:rFonts w:hint="eastAsia" w:ascii="宋体" w:hAnsi="宋体"/>
          <w:sz w:val="24"/>
        </w:rPr>
        <w:t>其他。</w:t>
      </w:r>
    </w:p>
    <w:p>
      <w:pPr>
        <w:ind w:firstLine="480" w:firstLineChars="200"/>
        <w:rPr>
          <w:rFonts w:ascii="宋体" w:hAnsi="宋体"/>
          <w:sz w:val="24"/>
        </w:rPr>
      </w:pPr>
      <w:r>
        <w:rPr>
          <w:rFonts w:hint="eastAsia" w:ascii="宋体" w:hAnsi="宋体"/>
          <w:sz w:val="24"/>
        </w:rPr>
        <w:t>2</w:t>
      </w:r>
      <w:r>
        <w:rPr>
          <w:rFonts w:ascii="宋体" w:hAnsi="宋体"/>
          <w:sz w:val="24"/>
        </w:rPr>
        <w:t>.4</w:t>
      </w:r>
      <w:r>
        <w:rPr>
          <w:rFonts w:hint="eastAsia" w:ascii="宋体" w:hAnsi="宋体"/>
          <w:sz w:val="24"/>
        </w:rPr>
        <w:t>检定项目与方法</w:t>
      </w:r>
    </w:p>
    <w:p>
      <w:pPr>
        <w:ind w:firstLine="480" w:firstLineChars="200"/>
        <w:rPr>
          <w:rFonts w:ascii="宋体" w:hAnsi="宋体"/>
          <w:sz w:val="24"/>
        </w:rPr>
      </w:pPr>
      <w:r>
        <w:rPr>
          <w:rFonts w:hint="eastAsia" w:ascii="宋体" w:hAnsi="宋体"/>
          <w:sz w:val="24"/>
        </w:rPr>
        <w:t>检定项目：依据检定规程规定的全部或部分项目（如示值误差、重复性、稳定性等）。</w:t>
      </w:r>
    </w:p>
    <w:p>
      <w:pPr>
        <w:ind w:firstLine="480" w:firstLineChars="200"/>
        <w:rPr>
          <w:rFonts w:ascii="宋体" w:hAnsi="宋体"/>
          <w:sz w:val="24"/>
        </w:rPr>
      </w:pPr>
      <w:r>
        <w:rPr>
          <w:rFonts w:ascii="宋体" w:hAnsi="宋体"/>
          <w:sz w:val="24"/>
        </w:rPr>
        <w:t>3.</w:t>
      </w:r>
      <w:r>
        <w:rPr>
          <w:rFonts w:hint="eastAsia" w:ascii="宋体" w:hAnsi="宋体"/>
          <w:sz w:val="24"/>
        </w:rPr>
        <w:t>计量器具检定、检验、校准、比对的主要内容</w:t>
      </w:r>
    </w:p>
    <w:p>
      <w:pPr>
        <w:ind w:firstLine="480" w:firstLineChars="200"/>
        <w:rPr>
          <w:rFonts w:ascii="宋体" w:hAnsi="宋体"/>
          <w:sz w:val="24"/>
        </w:rPr>
      </w:pPr>
      <w:r>
        <w:rPr>
          <w:rFonts w:ascii="宋体" w:hAnsi="宋体"/>
          <w:sz w:val="24"/>
        </w:rPr>
        <w:t>3.</w:t>
      </w:r>
      <w:r>
        <w:rPr>
          <w:rFonts w:hint="eastAsia" w:ascii="宋体" w:hAnsi="宋体"/>
          <w:sz w:val="24"/>
        </w:rPr>
        <w:t>1外观检查</w:t>
      </w:r>
    </w:p>
    <w:p>
      <w:pPr>
        <w:ind w:firstLine="480" w:firstLineChars="200"/>
        <w:rPr>
          <w:rFonts w:ascii="宋体" w:hAnsi="宋体"/>
          <w:sz w:val="24"/>
        </w:rPr>
      </w:pPr>
      <w:r>
        <w:rPr>
          <w:rFonts w:hint="eastAsia" w:ascii="宋体" w:hAnsi="宋体"/>
          <w:sz w:val="24"/>
        </w:rPr>
        <w:t>检查器具标识检查；</w:t>
      </w:r>
    </w:p>
    <w:p>
      <w:pPr>
        <w:ind w:firstLine="480" w:firstLineChars="200"/>
        <w:rPr>
          <w:rFonts w:ascii="宋体" w:hAnsi="宋体"/>
          <w:sz w:val="24"/>
        </w:rPr>
      </w:pPr>
      <w:r>
        <w:rPr>
          <w:rFonts w:hint="eastAsia" w:ascii="宋体" w:hAnsi="宋体"/>
          <w:sz w:val="24"/>
        </w:rPr>
        <w:t>机械损伤、锈蚀或影响功能的缺陷检查；</w:t>
      </w:r>
    </w:p>
    <w:p>
      <w:pPr>
        <w:ind w:firstLine="480" w:firstLineChars="200"/>
        <w:rPr>
          <w:rFonts w:ascii="宋体" w:hAnsi="宋体"/>
          <w:sz w:val="24"/>
        </w:rPr>
      </w:pPr>
      <w:r>
        <w:rPr>
          <w:rFonts w:hint="eastAsia" w:ascii="宋体" w:hAnsi="宋体"/>
          <w:sz w:val="24"/>
        </w:rPr>
        <w:t>所属附件检查。</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3.</w:t>
      </w:r>
      <w:r>
        <w:rPr>
          <w:rFonts w:hint="eastAsia" w:ascii="宋体" w:hAnsi="宋体"/>
          <w:sz w:val="24"/>
        </w:rPr>
        <w:t>2 计量特性测试</w:t>
      </w:r>
    </w:p>
    <w:p>
      <w:pPr>
        <w:ind w:firstLine="480" w:firstLineChars="200"/>
        <w:rPr>
          <w:rFonts w:ascii="宋体" w:hAnsi="宋体"/>
          <w:sz w:val="24"/>
        </w:rPr>
      </w:pPr>
      <w:r>
        <w:rPr>
          <w:rFonts w:hint="eastAsia" w:ascii="宋体" w:hAnsi="宋体"/>
          <w:sz w:val="24"/>
        </w:rPr>
        <w:t>示值误差：测量值与标准值的偏差检查；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重复性：同一条件下多次测量结果的一致性检查；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稳定性：随时间或环境变化的量值保持能力检查；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灵敏度：器具对输入量变化的响应能力检查；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分辨力：可识别的最小量值变化检查；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线性度：量程内示值误差的线性分布检查。</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 xml:space="preserve"> 功能性验证</w:t>
      </w:r>
    </w:p>
    <w:p>
      <w:pPr>
        <w:ind w:firstLine="480" w:firstLineChars="200"/>
        <w:rPr>
          <w:rFonts w:ascii="宋体" w:hAnsi="宋体"/>
          <w:sz w:val="24"/>
        </w:rPr>
      </w:pPr>
      <w:r>
        <w:rPr>
          <w:rFonts w:hint="eastAsia" w:ascii="宋体" w:hAnsi="宋体"/>
          <w:sz w:val="24"/>
        </w:rPr>
        <w:t>检查器具的开关、按键、显示屏等是否正常工作；</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校准软件或数据接口是否可靠（适用于智能仪器）。</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3.</w:t>
      </w:r>
      <w:r>
        <w:rPr>
          <w:rFonts w:hint="eastAsia" w:ascii="宋体" w:hAnsi="宋体"/>
          <w:sz w:val="24"/>
        </w:rPr>
        <w:t>4环境适应性</w:t>
      </w:r>
    </w:p>
    <w:p>
      <w:pPr>
        <w:ind w:firstLine="480" w:firstLineChars="200"/>
        <w:rPr>
          <w:rFonts w:ascii="宋体" w:hAnsi="宋体"/>
          <w:sz w:val="24"/>
        </w:rPr>
      </w:pPr>
      <w:r>
        <w:rPr>
          <w:rFonts w:hint="eastAsia" w:ascii="宋体" w:hAnsi="宋体"/>
          <w:sz w:val="24"/>
        </w:rPr>
        <w:t>验证器具在特定温度、湿度、振动等条件下的性能是否符合要求。</w:t>
      </w:r>
    </w:p>
    <w:p>
      <w:pPr>
        <w:ind w:firstLine="480" w:firstLineChars="200"/>
        <w:rPr>
          <w:rFonts w:ascii="宋体" w:hAnsi="宋体"/>
          <w:sz w:val="24"/>
        </w:rPr>
      </w:pPr>
    </w:p>
    <w:p>
      <w:pPr>
        <w:rPr>
          <w:rFonts w:ascii="宋体" w:hAnsi="宋体"/>
          <w:sz w:val="24"/>
        </w:rPr>
      </w:pPr>
      <w:r>
        <w:rPr>
          <w:rFonts w:hint="eastAsia" w:ascii="宋体" w:hAnsi="宋体"/>
          <w:b/>
          <w:spacing w:val="16"/>
          <w:sz w:val="24"/>
          <w:lang w:eastAsia="zh-CN"/>
        </w:rPr>
        <w:t>四、</w:t>
      </w:r>
      <w:r>
        <w:rPr>
          <w:rFonts w:hint="eastAsia" w:ascii="宋体" w:hAnsi="宋体"/>
          <w:b/>
          <w:spacing w:val="16"/>
          <w:sz w:val="24"/>
        </w:rPr>
        <w:t>检定</w:t>
      </w:r>
      <w:bookmarkStart w:id="2" w:name="_Hlk192853831"/>
      <w:r>
        <w:rPr>
          <w:rFonts w:hint="eastAsia" w:ascii="宋体" w:hAnsi="宋体"/>
          <w:b/>
          <w:spacing w:val="16"/>
          <w:sz w:val="24"/>
        </w:rPr>
        <w:t>结</w:t>
      </w:r>
      <w:bookmarkEnd w:id="2"/>
      <w:r>
        <w:rPr>
          <w:rFonts w:hint="eastAsia" w:ascii="宋体" w:hAnsi="宋体"/>
          <w:b/>
          <w:spacing w:val="16"/>
          <w:sz w:val="24"/>
        </w:rPr>
        <w:t>果处理</w:t>
      </w:r>
    </w:p>
    <w:p>
      <w:pPr>
        <w:ind w:firstLine="480" w:firstLineChars="200"/>
        <w:rPr>
          <w:rFonts w:ascii="宋体" w:hAnsi="宋体"/>
          <w:sz w:val="24"/>
        </w:rPr>
      </w:pPr>
      <w:r>
        <w:rPr>
          <w:rFonts w:ascii="宋体" w:hAnsi="宋体"/>
          <w:sz w:val="24"/>
        </w:rPr>
        <w:t>4.1</w:t>
      </w:r>
      <w:r>
        <w:rPr>
          <w:rFonts w:hint="eastAsia" w:ascii="宋体" w:hAnsi="宋体"/>
          <w:sz w:val="24"/>
        </w:rPr>
        <w:t>检定合格的计量器具，乙方出具检定证书并按要求粘贴合格证标识；</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4.2</w:t>
      </w:r>
      <w:r>
        <w:rPr>
          <w:rFonts w:hint="eastAsia" w:ascii="宋体" w:hAnsi="宋体"/>
          <w:sz w:val="24"/>
        </w:rPr>
        <w:t>检验合格的计量器具，乙方出具检验合格证书</w:t>
      </w:r>
      <w:bookmarkStart w:id="3" w:name="_Hlk211846092"/>
      <w:r>
        <w:rPr>
          <w:rFonts w:hint="eastAsia" w:ascii="宋体" w:hAnsi="宋体"/>
          <w:sz w:val="24"/>
        </w:rPr>
        <w:t>并按要求粘贴合格证标识</w:t>
      </w:r>
      <w:bookmarkEnd w:id="3"/>
      <w:r>
        <w:rPr>
          <w:rFonts w:hint="eastAsia" w:ascii="宋体" w:hAnsi="宋体"/>
          <w:sz w:val="24"/>
        </w:rPr>
        <w:t>；</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4.3</w:t>
      </w:r>
      <w:r>
        <w:rPr>
          <w:rFonts w:hint="eastAsia" w:ascii="宋体" w:hAnsi="宋体"/>
          <w:sz w:val="24"/>
        </w:rPr>
        <w:t>校准合格的计量器具，乙方出具校准合格证书并按要求粘贴合格证标识；</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4.4</w:t>
      </w:r>
      <w:r>
        <w:rPr>
          <w:rFonts w:hint="eastAsia" w:ascii="宋体" w:hAnsi="宋体"/>
          <w:sz w:val="24"/>
        </w:rPr>
        <w:t>比对合格的计量器具，乙方出具比对合格证书并按要求粘贴合格证标识；</w:t>
      </w:r>
    </w:p>
    <w:p>
      <w:pPr>
        <w:ind w:firstLine="480" w:firstLineChars="200"/>
        <w:rPr>
          <w:rFonts w:ascii="宋体" w:hAnsi="宋体"/>
          <w:sz w:val="24"/>
        </w:rPr>
      </w:pPr>
    </w:p>
    <w:p>
      <w:pPr>
        <w:ind w:firstLine="480" w:firstLineChars="200"/>
        <w:rPr>
          <w:rFonts w:ascii="宋体" w:hAnsi="宋体"/>
          <w:sz w:val="24"/>
        </w:rPr>
      </w:pPr>
      <w:r>
        <w:rPr>
          <w:rFonts w:ascii="宋体" w:hAnsi="宋体"/>
          <w:sz w:val="24"/>
        </w:rPr>
        <w:t>4.5</w:t>
      </w:r>
      <w:r>
        <w:rPr>
          <w:rFonts w:hint="eastAsia" w:ascii="宋体" w:hAnsi="宋体"/>
          <w:sz w:val="24"/>
        </w:rPr>
        <w:t>检定不合格的，乙方出具检定结果通知书，说明不合格项及原因。</w:t>
      </w:r>
    </w:p>
    <w:p>
      <w:pPr>
        <w:ind w:firstLine="480" w:firstLineChars="200"/>
        <w:rPr>
          <w:rFonts w:ascii="宋体" w:hAnsi="宋体"/>
          <w:sz w:val="24"/>
        </w:rPr>
      </w:pPr>
    </w:p>
    <w:p>
      <w:pPr>
        <w:rPr>
          <w:rFonts w:ascii="宋体" w:hAnsi="宋体"/>
          <w:sz w:val="24"/>
        </w:rPr>
      </w:pPr>
      <w:r>
        <w:rPr>
          <w:rFonts w:hint="eastAsia" w:ascii="宋体" w:hAnsi="宋体"/>
          <w:b/>
          <w:spacing w:val="16"/>
          <w:sz w:val="24"/>
          <w:lang w:eastAsia="zh-CN"/>
        </w:rPr>
        <w:t>五、</w:t>
      </w:r>
      <w:r>
        <w:rPr>
          <w:rFonts w:hint="eastAsia" w:ascii="宋体" w:hAnsi="宋体"/>
          <w:b/>
          <w:spacing w:val="16"/>
          <w:sz w:val="24"/>
        </w:rPr>
        <w:t>资质要求</w:t>
      </w:r>
    </w:p>
    <w:p>
      <w:pPr>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资质要求：检定机构</w:t>
      </w:r>
      <w:r>
        <w:rPr>
          <w:rFonts w:hint="eastAsia" w:ascii="宋体" w:hAnsi="宋体"/>
          <w:sz w:val="24"/>
          <w:lang w:eastAsia="zh-CN"/>
        </w:rPr>
        <w:t>须具备</w:t>
      </w:r>
      <w:r>
        <w:rPr>
          <w:rFonts w:hint="eastAsia" w:ascii="宋体" w:hAnsi="宋体"/>
          <w:sz w:val="24"/>
        </w:rPr>
        <w:t>CMA（中国计量认证）或CNAS（实验室认可）资质；</w:t>
      </w:r>
    </w:p>
    <w:p>
      <w:pPr>
        <w:rPr>
          <w:rFonts w:ascii="宋体" w:hAnsi="宋体"/>
          <w:sz w:val="24"/>
        </w:rPr>
      </w:pPr>
    </w:p>
    <w:p>
      <w:pPr>
        <w:ind w:firstLine="480" w:firstLineChars="200"/>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溯源要求：检定使用的标准器具必须可溯源至国家基准或国际标准；</w:t>
      </w:r>
    </w:p>
    <w:p>
      <w:pPr>
        <w:rPr>
          <w:rFonts w:ascii="宋体" w:hAnsi="宋体"/>
          <w:sz w:val="24"/>
        </w:rPr>
      </w:pPr>
    </w:p>
    <w:p>
      <w:pPr>
        <w:ind w:firstLine="480" w:firstLineChars="200"/>
        <w:rPr>
          <w:rFonts w:ascii="宋体" w:hAnsi="宋体"/>
          <w:sz w:val="24"/>
        </w:rPr>
      </w:pPr>
      <w:r>
        <w:rPr>
          <w:rFonts w:ascii="宋体" w:hAnsi="宋体"/>
          <w:sz w:val="24"/>
        </w:rPr>
        <w:t>5.3</w:t>
      </w:r>
      <w:r>
        <w:rPr>
          <w:rFonts w:hint="eastAsia" w:ascii="宋体" w:hAnsi="宋体"/>
          <w:sz w:val="24"/>
        </w:rPr>
        <w:t>记录保存：检定证书、原始数据需至少保存一个检定周期；</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5.4无法入厂检验的由乙方负责到厂</w:t>
      </w:r>
      <w:r>
        <w:rPr>
          <w:rFonts w:hint="eastAsia" w:ascii="宋体" w:hAnsi="宋体"/>
          <w:sz w:val="24"/>
          <w:lang w:eastAsia="zh-CN"/>
        </w:rPr>
        <w:t>运输</w:t>
      </w:r>
      <w:r>
        <w:rPr>
          <w:rFonts w:hint="eastAsia" w:ascii="宋体" w:hAnsi="宋体"/>
          <w:sz w:val="24"/>
        </w:rPr>
        <w:t>至乙方检验实验室、运输途中导致器具损坏的由乙方承担。</w:t>
      </w:r>
    </w:p>
    <w:p>
      <w:pPr>
        <w:ind w:firstLine="480" w:firstLineChars="200"/>
        <w:rPr>
          <w:rFonts w:ascii="宋体" w:hAnsi="宋体"/>
          <w:sz w:val="24"/>
        </w:rPr>
      </w:pPr>
    </w:p>
    <w:p>
      <w:pPr>
        <w:autoSpaceDE w:val="0"/>
        <w:autoSpaceDN w:val="0"/>
        <w:adjustRightInd w:val="0"/>
        <w:spacing w:before="100" w:after="100"/>
        <w:rPr>
          <w:rFonts w:ascii="宋体"/>
          <w:sz w:val="24"/>
          <w:szCs w:val="20"/>
        </w:rPr>
      </w:pPr>
      <w:r>
        <w:rPr>
          <w:rFonts w:hint="eastAsia" w:ascii="宋体"/>
          <w:b/>
          <w:bCs/>
          <w:sz w:val="24"/>
          <w:lang w:eastAsia="zh-CN"/>
        </w:rPr>
        <w:t>六、</w:t>
      </w:r>
      <w:r>
        <w:rPr>
          <w:rFonts w:ascii="宋体"/>
          <w:b/>
          <w:bCs/>
          <w:sz w:val="24"/>
        </w:rPr>
        <w:t xml:space="preserve"> </w:t>
      </w:r>
      <w:r>
        <w:rPr>
          <w:rFonts w:hint="eastAsia" w:ascii="宋体"/>
          <w:b/>
          <w:bCs/>
          <w:sz w:val="24"/>
        </w:rPr>
        <w:t>报价要求</w:t>
      </w:r>
    </w:p>
    <w:p>
      <w:pPr>
        <w:ind w:firstLine="480"/>
        <w:rPr>
          <w:rFonts w:ascii="宋体" w:hAnsi="宋体"/>
          <w:sz w:val="24"/>
        </w:rPr>
      </w:pPr>
      <w:r>
        <w:rPr>
          <w:rFonts w:ascii="宋体" w:hAnsi="宋体"/>
          <w:sz w:val="24"/>
        </w:rPr>
        <w:t>1.</w:t>
      </w:r>
      <w:r>
        <w:rPr>
          <w:rFonts w:hint="eastAsia" w:ascii="宋体" w:hAnsi="宋体"/>
          <w:sz w:val="24"/>
        </w:rPr>
        <w:t>按单项单价报价，按实际检验发生项结算，检验服务周期为一年。</w:t>
      </w:r>
    </w:p>
    <w:p>
      <w:pPr>
        <w:ind w:firstLine="480"/>
        <w:rPr>
          <w:rFonts w:ascii="宋体" w:hAnsi="宋体"/>
          <w:sz w:val="24"/>
        </w:rPr>
      </w:pPr>
      <w:r>
        <w:rPr>
          <w:rFonts w:ascii="宋体" w:hAnsi="宋体"/>
          <w:sz w:val="24"/>
        </w:rPr>
        <w:t>2.</w:t>
      </w:r>
      <w:r>
        <w:rPr>
          <w:rFonts w:hint="eastAsia" w:ascii="宋体" w:hAnsi="宋体"/>
          <w:sz w:val="24"/>
        </w:rPr>
        <w:t>检验内容详见附件1：ABC类</w:t>
      </w:r>
      <w:r>
        <w:rPr>
          <w:rFonts w:hint="eastAsia" w:ascii="宋体" w:hAnsi="宋体"/>
          <w:sz w:val="24"/>
          <w:lang w:eastAsia="zh-CN"/>
        </w:rPr>
        <w:t>总台账</w:t>
      </w:r>
      <w:r>
        <w:rPr>
          <w:rFonts w:hint="eastAsia" w:ascii="宋体" w:hAnsi="宋体"/>
          <w:sz w:val="24"/>
        </w:rPr>
        <w:t>设备清单表。</w:t>
      </w:r>
    </w:p>
    <w:p>
      <w:pPr>
        <w:autoSpaceDE w:val="0"/>
        <w:autoSpaceDN w:val="0"/>
        <w:adjustRightInd w:val="0"/>
        <w:spacing w:before="100" w:after="100"/>
        <w:rPr>
          <w:rFonts w:ascii="宋体"/>
          <w:sz w:val="24"/>
          <w:szCs w:val="20"/>
        </w:rPr>
      </w:pPr>
      <w:r>
        <w:rPr>
          <w:rFonts w:hint="eastAsia" w:ascii="宋体"/>
          <w:b/>
          <w:bCs/>
          <w:sz w:val="24"/>
          <w:lang w:eastAsia="zh-CN"/>
        </w:rPr>
        <w:t>七、</w:t>
      </w:r>
      <w:r>
        <w:rPr>
          <w:rFonts w:ascii="宋体"/>
          <w:b/>
          <w:bCs/>
          <w:sz w:val="24"/>
        </w:rPr>
        <w:t xml:space="preserve"> </w:t>
      </w:r>
      <w:r>
        <w:rPr>
          <w:rFonts w:hint="eastAsia" w:ascii="宋体"/>
          <w:b/>
          <w:bCs/>
          <w:sz w:val="24"/>
        </w:rPr>
        <w:t>服务</w:t>
      </w:r>
      <w:r>
        <w:rPr>
          <w:rFonts w:ascii="宋体"/>
          <w:b/>
          <w:bCs/>
          <w:sz w:val="24"/>
        </w:rPr>
        <w:t>要求</w:t>
      </w:r>
    </w:p>
    <w:p>
      <w:pPr>
        <w:numPr>
          <w:ilvl w:val="0"/>
          <w:numId w:val="1"/>
        </w:numPr>
        <w:autoSpaceDE w:val="0"/>
        <w:autoSpaceDN w:val="0"/>
        <w:adjustRightInd w:val="0"/>
        <w:spacing w:before="100" w:after="100"/>
        <w:rPr>
          <w:rFonts w:ascii="宋体"/>
          <w:sz w:val="24"/>
        </w:rPr>
      </w:pPr>
      <w:r>
        <w:rPr>
          <w:rFonts w:hint="eastAsia" w:ascii="宋体"/>
          <w:sz w:val="24"/>
        </w:rPr>
        <w:t>可以入厂检定的设备乙方按甲方要求按时入</w:t>
      </w:r>
      <w:r>
        <w:rPr>
          <w:rFonts w:hint="eastAsia" w:ascii="宋体"/>
          <w:sz w:val="24"/>
          <w:lang w:eastAsia="zh-CN"/>
        </w:rPr>
        <w:t>厂</w:t>
      </w:r>
      <w:r>
        <w:rPr>
          <w:rFonts w:hint="eastAsia" w:ascii="宋体"/>
          <w:sz w:val="24"/>
        </w:rPr>
        <w:t>进行检定。</w:t>
      </w:r>
    </w:p>
    <w:p>
      <w:pPr>
        <w:numPr>
          <w:ilvl w:val="0"/>
          <w:numId w:val="1"/>
        </w:numPr>
        <w:autoSpaceDE w:val="0"/>
        <w:autoSpaceDN w:val="0"/>
        <w:adjustRightInd w:val="0"/>
        <w:spacing w:before="100" w:after="100"/>
        <w:rPr>
          <w:rFonts w:ascii="宋体"/>
          <w:sz w:val="24"/>
        </w:rPr>
      </w:pPr>
      <w:r>
        <w:rPr>
          <w:rFonts w:hint="eastAsia" w:ascii="宋体"/>
          <w:sz w:val="24"/>
        </w:rPr>
        <w:t>不能入厂检定的由乙方自行到甲方指定的地点运输至乙方实验室，检定</w:t>
      </w:r>
      <w:r>
        <w:rPr>
          <w:rFonts w:hint="eastAsia" w:ascii="宋体"/>
          <w:sz w:val="24"/>
          <w:lang w:eastAsia="zh-CN"/>
        </w:rPr>
        <w:t>完成</w:t>
      </w:r>
      <w:r>
        <w:rPr>
          <w:rFonts w:hint="eastAsia" w:ascii="宋体"/>
          <w:sz w:val="24"/>
        </w:rPr>
        <w:t>以后由乙方负责运输到甲方指定的地点安装，运输途中乙方保证甲方所送检</w:t>
      </w:r>
      <w:bookmarkStart w:id="4" w:name="_Hlk190334708"/>
      <w:r>
        <w:rPr>
          <w:rFonts w:hint="eastAsia" w:ascii="宋体"/>
          <w:sz w:val="24"/>
        </w:rPr>
        <w:t>计量工</w:t>
      </w:r>
      <w:bookmarkEnd w:id="4"/>
      <w:r>
        <w:rPr>
          <w:rFonts w:hint="eastAsia" w:ascii="宋体"/>
          <w:sz w:val="24"/>
        </w:rPr>
        <w:t>器具的运输安全，送检过程中遗失、损坏由乙方承担责任。</w:t>
      </w:r>
    </w:p>
    <w:p>
      <w:pPr>
        <w:numPr>
          <w:ilvl w:val="0"/>
          <w:numId w:val="1"/>
        </w:numPr>
        <w:autoSpaceDE w:val="0"/>
        <w:autoSpaceDN w:val="0"/>
        <w:adjustRightInd w:val="0"/>
        <w:spacing w:before="100" w:after="100"/>
        <w:rPr>
          <w:rFonts w:ascii="宋体"/>
          <w:sz w:val="24"/>
        </w:rPr>
      </w:pPr>
      <w:r>
        <w:rPr>
          <w:rFonts w:hint="eastAsia" w:ascii="宋体"/>
          <w:bCs/>
          <w:sz w:val="24"/>
        </w:rPr>
        <w:t>乙方负责跟踪甲方全部计量器具的</w:t>
      </w:r>
      <w:r>
        <w:rPr>
          <w:rFonts w:hint="eastAsia" w:ascii="宋体"/>
          <w:sz w:val="24"/>
        </w:rPr>
        <w:t>检验日期、到期日期等相关台账更新情况，及时反馈相关更新信息，不得存在超期未检的设备。</w:t>
      </w:r>
    </w:p>
    <w:p>
      <w:pPr>
        <w:numPr>
          <w:ilvl w:val="0"/>
          <w:numId w:val="1"/>
        </w:numPr>
        <w:autoSpaceDE w:val="0"/>
        <w:autoSpaceDN w:val="0"/>
        <w:adjustRightInd w:val="0"/>
        <w:spacing w:before="100" w:after="100"/>
        <w:rPr>
          <w:rFonts w:ascii="宋体"/>
          <w:sz w:val="24"/>
        </w:rPr>
      </w:pPr>
      <w:r>
        <w:rPr>
          <w:rFonts w:hint="eastAsia" w:ascii="宋体"/>
          <w:sz w:val="24"/>
        </w:rPr>
        <w:t>检定过程中计量器具需要拆卸、安装的由乙方负责，甲方监护指导。</w:t>
      </w:r>
    </w:p>
    <w:p>
      <w:pPr>
        <w:numPr>
          <w:ilvl w:val="0"/>
          <w:numId w:val="1"/>
        </w:numPr>
        <w:autoSpaceDE w:val="0"/>
        <w:autoSpaceDN w:val="0"/>
        <w:adjustRightInd w:val="0"/>
        <w:spacing w:before="100" w:after="100"/>
        <w:rPr>
          <w:rFonts w:ascii="宋体"/>
          <w:sz w:val="24"/>
        </w:rPr>
      </w:pPr>
      <w:r>
        <w:rPr>
          <w:rFonts w:hint="eastAsia" w:ascii="宋体"/>
          <w:sz w:val="24"/>
        </w:rPr>
        <w:t>乙方按约定时间完成检定；对检定结果负责，保证数据真实、有效；对甲方提供的技术资料保密。</w:t>
      </w:r>
    </w:p>
    <w:p>
      <w:pPr>
        <w:numPr>
          <w:ilvl w:val="0"/>
          <w:numId w:val="1"/>
        </w:numPr>
        <w:autoSpaceDE w:val="0"/>
        <w:autoSpaceDN w:val="0"/>
        <w:adjustRightInd w:val="0"/>
        <w:spacing w:before="100" w:after="100"/>
        <w:rPr>
          <w:rFonts w:ascii="宋体"/>
          <w:sz w:val="24"/>
        </w:rPr>
      </w:pPr>
      <w:r>
        <w:rPr>
          <w:rFonts w:hint="eastAsia" w:ascii="宋体"/>
          <w:sz w:val="24"/>
        </w:rPr>
        <w:t>原计量院免费检的6</w:t>
      </w:r>
      <w:r>
        <w:rPr>
          <w:rFonts w:ascii="宋体"/>
          <w:sz w:val="24"/>
        </w:rPr>
        <w:t>5</w:t>
      </w:r>
      <w:r>
        <w:rPr>
          <w:rFonts w:hint="eastAsia" w:ascii="宋体"/>
          <w:sz w:val="24"/>
        </w:rPr>
        <w:t>项压力表及3项电子汽车地上衡等6</w:t>
      </w:r>
      <w:r>
        <w:rPr>
          <w:rFonts w:ascii="宋体"/>
          <w:sz w:val="24"/>
        </w:rPr>
        <w:t>8</w:t>
      </w:r>
      <w:r>
        <w:rPr>
          <w:rFonts w:hint="eastAsia" w:ascii="宋体"/>
          <w:sz w:val="24"/>
        </w:rPr>
        <w:t>项强检设备需免费检验。</w:t>
      </w:r>
    </w:p>
    <w:p>
      <w:pPr>
        <w:autoSpaceDE w:val="0"/>
        <w:autoSpaceDN w:val="0"/>
        <w:adjustRightInd w:val="0"/>
        <w:spacing w:before="100" w:after="100"/>
        <w:rPr>
          <w:rFonts w:ascii="宋体"/>
          <w:sz w:val="24"/>
        </w:rPr>
      </w:pPr>
    </w:p>
    <w:p>
      <w:pPr>
        <w:autoSpaceDE w:val="0"/>
        <w:autoSpaceDN w:val="0"/>
        <w:adjustRightInd w:val="0"/>
        <w:spacing w:before="100" w:after="100"/>
        <w:rPr>
          <w:rFonts w:ascii="宋体"/>
          <w:b/>
          <w:bCs/>
          <w:sz w:val="24"/>
        </w:rPr>
      </w:pPr>
      <w:r>
        <w:rPr>
          <w:rFonts w:hint="eastAsia" w:ascii="宋体"/>
          <w:b/>
          <w:bCs/>
          <w:sz w:val="24"/>
          <w:lang w:eastAsia="zh-CN"/>
        </w:rPr>
        <w:t>七、</w:t>
      </w:r>
      <w:r>
        <w:rPr>
          <w:rFonts w:hint="eastAsia" w:ascii="宋体"/>
          <w:b/>
          <w:bCs/>
          <w:sz w:val="24"/>
        </w:rPr>
        <w:t xml:space="preserve">检定安全和进度 </w:t>
      </w:r>
    </w:p>
    <w:p>
      <w:pPr>
        <w:autoSpaceDE w:val="0"/>
        <w:autoSpaceDN w:val="0"/>
        <w:adjustRightInd w:val="0"/>
        <w:spacing w:before="100" w:after="100"/>
        <w:rPr>
          <w:rFonts w:ascii="宋体"/>
          <w:sz w:val="24"/>
        </w:rPr>
      </w:pPr>
      <w:r>
        <w:rPr>
          <w:rFonts w:hint="eastAsia" w:ascii="宋体"/>
          <w:sz w:val="24"/>
          <w:lang w:eastAsia="zh-CN"/>
        </w:rPr>
        <w:t>1.</w:t>
      </w:r>
      <w:r>
        <w:rPr>
          <w:rFonts w:hint="eastAsia" w:ascii="宋体"/>
          <w:sz w:val="24"/>
        </w:rPr>
        <w:t>施工区域安全要求</w:t>
      </w:r>
    </w:p>
    <w:p>
      <w:pPr>
        <w:autoSpaceDE w:val="0"/>
        <w:autoSpaceDN w:val="0"/>
        <w:adjustRightInd w:val="0"/>
        <w:spacing w:before="100" w:after="100"/>
        <w:rPr>
          <w:rFonts w:ascii="宋体"/>
          <w:sz w:val="24"/>
        </w:rPr>
      </w:pPr>
      <w:r>
        <w:rPr>
          <w:rFonts w:hint="eastAsia" w:ascii="宋体"/>
          <w:sz w:val="24"/>
        </w:rPr>
        <w:t>必须严格遵守昆纤公司各项安全管理制度，进入现场正确使用安全劳动防护用品。必须保证施工进度，确保在规定的工期时间内，保质保量地完成全部安装调试工作。</w:t>
      </w:r>
    </w:p>
    <w:p>
      <w:pPr>
        <w:autoSpaceDE w:val="0"/>
        <w:autoSpaceDN w:val="0"/>
        <w:adjustRightInd w:val="0"/>
        <w:spacing w:before="100" w:after="100"/>
        <w:rPr>
          <w:rFonts w:ascii="宋体"/>
          <w:sz w:val="24"/>
        </w:rPr>
      </w:pPr>
    </w:p>
    <w:p>
      <w:pPr>
        <w:autoSpaceDE w:val="0"/>
        <w:autoSpaceDN w:val="0"/>
        <w:adjustRightInd w:val="0"/>
        <w:spacing w:before="100" w:after="100"/>
        <w:rPr>
          <w:rFonts w:ascii="宋体"/>
          <w:sz w:val="24"/>
        </w:rPr>
      </w:pPr>
      <w:r>
        <w:rPr>
          <w:rFonts w:hint="eastAsia" w:ascii="宋体"/>
          <w:sz w:val="24"/>
        </w:rPr>
        <w:t>2. 施工安全方案要求</w:t>
      </w:r>
    </w:p>
    <w:p>
      <w:pPr>
        <w:autoSpaceDE w:val="0"/>
        <w:autoSpaceDN w:val="0"/>
        <w:adjustRightInd w:val="0"/>
        <w:spacing w:before="100" w:after="100"/>
        <w:ind w:firstLine="480" w:firstLineChars="200"/>
        <w:rPr>
          <w:rFonts w:ascii="宋体"/>
          <w:sz w:val="24"/>
        </w:rPr>
      </w:pPr>
      <w:r>
        <w:rPr>
          <w:rFonts w:hint="eastAsia" w:ascii="宋体"/>
          <w:sz w:val="24"/>
        </w:rPr>
        <w:t>入厂检定前要严格执行安全管理制度，开工前，要办理工作票确保所有</w:t>
      </w:r>
      <w:r>
        <w:rPr>
          <w:rFonts w:hint="eastAsia" w:ascii="宋体"/>
          <w:sz w:val="24"/>
          <w:lang w:eastAsia="zh-CN"/>
        </w:rPr>
        <w:t>安全措施</w:t>
      </w:r>
      <w:r>
        <w:rPr>
          <w:rFonts w:hint="eastAsia" w:ascii="宋体"/>
          <w:sz w:val="24"/>
        </w:rPr>
        <w:t>一次做完，工作负责人、工作许可人任何一方不得擅自变更安全措施。</w:t>
      </w:r>
    </w:p>
    <w:p>
      <w:pPr>
        <w:autoSpaceDE w:val="0"/>
        <w:autoSpaceDN w:val="0"/>
        <w:adjustRightInd w:val="0"/>
        <w:spacing w:before="100" w:after="100"/>
        <w:ind w:firstLine="480" w:firstLineChars="200"/>
        <w:rPr>
          <w:rFonts w:ascii="宋体"/>
          <w:sz w:val="24"/>
        </w:rPr>
      </w:pPr>
      <w:r>
        <w:rPr>
          <w:rFonts w:hint="eastAsia" w:ascii="宋体"/>
          <w:sz w:val="24"/>
        </w:rPr>
        <w:t>工作负责人应向工作班人员</w:t>
      </w:r>
      <w:r>
        <w:rPr>
          <w:rFonts w:hint="eastAsia" w:ascii="宋体"/>
          <w:sz w:val="24"/>
          <w:lang w:eastAsia="zh-CN"/>
        </w:rPr>
        <w:t>交代</w:t>
      </w:r>
      <w:r>
        <w:rPr>
          <w:rFonts w:hint="eastAsia" w:ascii="宋体"/>
          <w:sz w:val="24"/>
        </w:rPr>
        <w:t>现场安全措施、注意事项，二次工作应填写二次设备及回路工作安全技术措施单，工作负责人对工作班人员的安全进行工作监护制度认真监护。</w:t>
      </w:r>
    </w:p>
    <w:p>
      <w:pPr>
        <w:autoSpaceDE w:val="0"/>
        <w:autoSpaceDN w:val="0"/>
        <w:adjustRightInd w:val="0"/>
        <w:spacing w:before="100" w:after="100"/>
        <w:ind w:firstLine="480" w:firstLineChars="200"/>
        <w:rPr>
          <w:rFonts w:ascii="宋体"/>
          <w:sz w:val="24"/>
        </w:rPr>
      </w:pPr>
      <w:r>
        <w:rPr>
          <w:rFonts w:hint="eastAsia" w:ascii="宋体"/>
          <w:sz w:val="24"/>
        </w:rPr>
        <w:t>开展安全交底制度，工作开展前需要进行安全技术措施交底，认真听取现场设备运行情况介绍和有关安全措施。对执行的安全措施进行二次确认，各项措施到位无误后方能开展工作。</w:t>
      </w:r>
    </w:p>
    <w:p>
      <w:pPr>
        <w:autoSpaceDE w:val="0"/>
        <w:autoSpaceDN w:val="0"/>
        <w:adjustRightInd w:val="0"/>
        <w:spacing w:before="100" w:after="100"/>
        <w:ind w:firstLine="480" w:firstLineChars="200"/>
        <w:rPr>
          <w:rFonts w:ascii="宋体"/>
          <w:sz w:val="24"/>
        </w:rPr>
      </w:pPr>
      <w:r>
        <w:rPr>
          <w:rFonts w:hint="eastAsia" w:ascii="宋体"/>
          <w:sz w:val="24"/>
        </w:rPr>
        <w:t>乙方人员入场检验时必须严格按照甲方要求，严格佩戴全套安全防护用品。</w:t>
      </w:r>
    </w:p>
    <w:p>
      <w:pPr>
        <w:autoSpaceDE w:val="0"/>
        <w:autoSpaceDN w:val="0"/>
        <w:adjustRightInd w:val="0"/>
        <w:spacing w:before="100" w:after="100"/>
        <w:rPr>
          <w:rFonts w:ascii="宋体"/>
          <w:sz w:val="24"/>
        </w:rPr>
      </w:pPr>
    </w:p>
    <w:p>
      <w:pPr>
        <w:autoSpaceDE w:val="0"/>
        <w:autoSpaceDN w:val="0"/>
        <w:adjustRightInd w:val="0"/>
        <w:spacing w:before="100" w:after="100"/>
        <w:rPr>
          <w:rFonts w:ascii="宋体"/>
          <w:sz w:val="24"/>
        </w:rPr>
      </w:pPr>
      <w:r>
        <w:rPr>
          <w:rFonts w:hint="eastAsia" w:ascii="宋体"/>
          <w:sz w:val="24"/>
          <w:lang w:eastAsia="zh-CN"/>
        </w:rPr>
        <w:t>3.</w:t>
      </w:r>
      <w:r>
        <w:rPr>
          <w:rFonts w:hint="eastAsia" w:ascii="宋体"/>
          <w:sz w:val="24"/>
        </w:rPr>
        <w:t>昆纤安全要求</w:t>
      </w:r>
      <w:r>
        <w:rPr>
          <w:rFonts w:hint="eastAsia" w:ascii="宋体"/>
          <w:sz w:val="24"/>
          <w:lang w:eastAsia="zh-CN"/>
        </w:rPr>
        <w:t>：</w:t>
      </w:r>
      <w:r>
        <w:rPr>
          <w:rFonts w:hint="eastAsia" w:ascii="宋体"/>
          <w:sz w:val="24"/>
        </w:rPr>
        <w:t xml:space="preserve"> </w:t>
      </w:r>
    </w:p>
    <w:p>
      <w:pPr>
        <w:autoSpaceDE w:val="0"/>
        <w:autoSpaceDN w:val="0"/>
        <w:adjustRightInd w:val="0"/>
        <w:spacing w:before="100" w:after="100"/>
        <w:ind w:firstLine="480" w:firstLineChars="200"/>
        <w:rPr>
          <w:rFonts w:ascii="宋体"/>
          <w:sz w:val="24"/>
        </w:rPr>
      </w:pPr>
      <w:r>
        <w:rPr>
          <w:rFonts w:hint="eastAsia" w:ascii="宋体"/>
          <w:sz w:val="24"/>
        </w:rPr>
        <w:t>3.1乙方外来作业负责人或指定的外来作业现场管理责任人应每周不少于一次对施工现场进行检查并填写《项目施工现场检查记录表》或</w:t>
      </w:r>
      <w:r>
        <w:rPr>
          <w:rFonts w:hint="eastAsia" w:ascii="宋体"/>
          <w:sz w:val="24"/>
          <w:lang w:eastAsia="zh-CN"/>
        </w:rPr>
        <w:t>其他检查</w:t>
      </w:r>
      <w:r>
        <w:rPr>
          <w:rFonts w:hint="eastAsia" w:ascii="宋体"/>
          <w:sz w:val="24"/>
        </w:rPr>
        <w:t>记录。</w:t>
      </w:r>
    </w:p>
    <w:p>
      <w:pPr>
        <w:autoSpaceDE w:val="0"/>
        <w:autoSpaceDN w:val="0"/>
        <w:adjustRightInd w:val="0"/>
        <w:spacing w:before="100" w:after="100"/>
        <w:rPr>
          <w:rFonts w:ascii="宋体"/>
          <w:sz w:val="24"/>
        </w:rPr>
      </w:pPr>
      <w:r>
        <w:rPr>
          <w:rFonts w:hint="eastAsia" w:ascii="宋体"/>
          <w:sz w:val="24"/>
        </w:rPr>
        <w:t>昆纤安全要求中</w:t>
      </w:r>
      <w:r>
        <w:rPr>
          <w:rFonts w:hint="eastAsia" w:ascii="宋体"/>
          <w:sz w:val="24"/>
          <w:lang w:eastAsia="zh-CN"/>
        </w:rPr>
        <w:t>：</w:t>
      </w:r>
      <w:r>
        <w:rPr>
          <w:rFonts w:hint="eastAsia" w:ascii="宋体"/>
          <w:sz w:val="24"/>
        </w:rPr>
        <w:t xml:space="preserve"> </w:t>
      </w:r>
    </w:p>
    <w:p>
      <w:pPr>
        <w:autoSpaceDE w:val="0"/>
        <w:autoSpaceDN w:val="0"/>
        <w:adjustRightInd w:val="0"/>
        <w:spacing w:before="100" w:after="100"/>
        <w:ind w:firstLine="480" w:firstLineChars="200"/>
        <w:rPr>
          <w:rFonts w:ascii="宋体"/>
          <w:sz w:val="24"/>
        </w:rPr>
      </w:pPr>
      <w:r>
        <w:rPr>
          <w:rFonts w:hint="eastAsia" w:ascii="宋体"/>
          <w:sz w:val="24"/>
        </w:rPr>
        <w:t xml:space="preserve">3.2项目施工时施工单位除严格执行国家相关安全规范外，还应严格遵守执行但不限于昆纤安全管理制度及《现场施工检查、监护表》《移动电器检查（监护）表》及《临时用电申请表》《昆纤公司项目隐蔽工程随工验收单》的安全要求。施工单位应指定安全员进行监督，并每周进行不少于1次《现场施工检查、监护表》的填写上报项目负责人。 </w:t>
      </w:r>
    </w:p>
    <w:p>
      <w:pPr>
        <w:autoSpaceDE w:val="0"/>
        <w:autoSpaceDN w:val="0"/>
        <w:adjustRightInd w:val="0"/>
        <w:spacing w:before="100" w:after="100"/>
        <w:rPr>
          <w:rFonts w:ascii="宋体"/>
          <w:sz w:val="24"/>
        </w:rPr>
      </w:pPr>
      <w:r>
        <w:rPr>
          <w:rFonts w:hint="eastAsia" w:ascii="宋体"/>
          <w:sz w:val="24"/>
        </w:rPr>
        <w:t>届时昆纤公司设备项目部将进行抽查。</w:t>
      </w:r>
    </w:p>
    <w:p>
      <w:pPr>
        <w:autoSpaceDE w:val="0"/>
        <w:autoSpaceDN w:val="0"/>
        <w:adjustRightInd w:val="0"/>
        <w:spacing w:before="100" w:after="100"/>
        <w:ind w:firstLine="480" w:firstLineChars="200"/>
        <w:rPr>
          <w:rFonts w:ascii="宋体"/>
          <w:sz w:val="24"/>
        </w:rPr>
      </w:pPr>
      <w:r>
        <w:rPr>
          <w:rFonts w:hint="eastAsia" w:ascii="宋体"/>
          <w:sz w:val="24"/>
        </w:rPr>
        <w:t>3.3如果施工时违反上述表格的要求，将视为违反《承包商环境、健康、安全协议》第六条的规定。第一次违章时将受到每人次100元的扣款，第二次将受到每人次300元扣款，第三次违章时违章人员将不得进入昆纤施工。</w:t>
      </w:r>
    </w:p>
    <w:p>
      <w:pPr>
        <w:autoSpaceDE w:val="0"/>
        <w:autoSpaceDN w:val="0"/>
        <w:adjustRightInd w:val="0"/>
        <w:spacing w:before="100" w:after="100"/>
        <w:ind w:firstLine="480" w:firstLineChars="200"/>
        <w:rPr>
          <w:rFonts w:ascii="宋体"/>
          <w:sz w:val="24"/>
        </w:rPr>
      </w:pPr>
      <w:r>
        <w:rPr>
          <w:rFonts w:hint="eastAsia" w:ascii="宋体"/>
          <w:sz w:val="24"/>
        </w:rPr>
        <w:t>3.4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p/>
    <w:p/>
    <w:p/>
    <w:p/>
    <w:p/>
    <w:p/>
    <w:p/>
    <w:p/>
    <w:p/>
    <w:p/>
    <w:p/>
    <w:p/>
    <w:p/>
    <w:p>
      <w:pPr>
        <w:widowControl/>
        <w:rPr>
          <w:rFonts w:ascii="宋体" w:hAnsi="宋体" w:cs="宋体"/>
          <w:b/>
          <w:bCs/>
          <w:kern w:val="0"/>
          <w:sz w:val="24"/>
        </w:rPr>
      </w:pPr>
      <w:r>
        <w:rPr>
          <w:rFonts w:hint="eastAsia" w:ascii="宋体" w:hAnsi="宋体" w:cs="宋体"/>
          <w:b/>
          <w:bCs/>
          <w:kern w:val="0"/>
          <w:sz w:val="24"/>
        </w:rPr>
        <w:t>附表一：</w:t>
      </w: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bl>
      <w:tblPr>
        <w:tblStyle w:val="6"/>
        <w:tblW w:w="9940" w:type="dxa"/>
        <w:tblInd w:w="-802" w:type="dxa"/>
        <w:tblLayout w:type="autofit"/>
        <w:tblCellMar>
          <w:top w:w="0" w:type="dxa"/>
          <w:left w:w="108" w:type="dxa"/>
          <w:bottom w:w="0" w:type="dxa"/>
          <w:right w:w="108" w:type="dxa"/>
        </w:tblCellMar>
      </w:tblPr>
      <w:tblGrid>
        <w:gridCol w:w="2160"/>
        <w:gridCol w:w="7780"/>
      </w:tblGrid>
      <w:tr>
        <w:tblPrEx>
          <w:tblCellMar>
            <w:top w:w="0" w:type="dxa"/>
            <w:left w:w="108" w:type="dxa"/>
            <w:bottom w:w="0" w:type="dxa"/>
            <w:right w:w="108" w:type="dxa"/>
          </w:tblCellMar>
        </w:tblPrEx>
        <w:trPr>
          <w:trHeight w:val="495" w:hRule="atLeast"/>
        </w:trPr>
        <w:tc>
          <w:tcPr>
            <w:tcW w:w="9940" w:type="dxa"/>
            <w:gridSpan w:val="2"/>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现场施工检查、监护表</w:t>
            </w:r>
          </w:p>
        </w:tc>
      </w:tr>
      <w:tr>
        <w:tblPrEx>
          <w:tblCellMar>
            <w:top w:w="0" w:type="dxa"/>
            <w:left w:w="108" w:type="dxa"/>
            <w:bottom w:w="0" w:type="dxa"/>
            <w:right w:w="108" w:type="dxa"/>
          </w:tblCellMar>
        </w:tblPrEx>
        <w:trPr>
          <w:trHeight w:val="300" w:hRule="atLeast"/>
        </w:trPr>
        <w:tc>
          <w:tcPr>
            <w:tcW w:w="9940" w:type="dxa"/>
            <w:gridSpan w:val="2"/>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施工区域：</w:t>
            </w:r>
          </w:p>
        </w:tc>
      </w:tr>
      <w:tr>
        <w:tblPrEx>
          <w:tblCellMar>
            <w:top w:w="0" w:type="dxa"/>
            <w:left w:w="108" w:type="dxa"/>
            <w:bottom w:w="0" w:type="dxa"/>
            <w:right w:w="108" w:type="dxa"/>
          </w:tblCellMar>
        </w:tblPrEx>
        <w:trPr>
          <w:trHeight w:val="31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施工人员行为</w:t>
            </w:r>
          </w:p>
        </w:tc>
        <w:tc>
          <w:tcPr>
            <w:tcW w:w="7780" w:type="dxa"/>
            <w:tcBorders>
              <w:top w:val="single" w:color="auto" w:sz="8" w:space="0"/>
              <w:left w:val="nil"/>
              <w:bottom w:val="single" w:color="auto" w:sz="4" w:space="0"/>
              <w:right w:val="single" w:color="000000" w:sz="8" w:space="0"/>
            </w:tcBorders>
            <w:shd w:val="clear" w:color="auto" w:fill="auto"/>
            <w:noWrap/>
            <w:vAlign w:val="center"/>
          </w:tcPr>
          <w:p>
            <w:pPr>
              <w:widowControl/>
              <w:jc w:val="left"/>
              <w:rPr>
                <w:kern w:val="0"/>
                <w:sz w:val="24"/>
              </w:rPr>
            </w:pPr>
            <w:r>
              <w:rPr>
                <w:rFonts w:hint="eastAsia"/>
                <w:kern w:val="0"/>
                <w:sz w:val="24"/>
                <w:lang w:eastAsia="zh-CN"/>
              </w:rPr>
              <w:t>1.</w:t>
            </w:r>
            <w:r>
              <w:rPr>
                <w:rFonts w:hint="eastAsia" w:ascii="宋体" w:hAnsi="宋体"/>
                <w:kern w:val="0"/>
                <w:sz w:val="24"/>
              </w:rPr>
              <w:t>不允许工作期间饮酒</w:t>
            </w:r>
            <w:r>
              <w:rPr>
                <w:kern w:val="0"/>
                <w:sz w:val="24"/>
              </w:rPr>
              <w:t xml:space="preserve">       [</w:t>
            </w:r>
            <w:r>
              <w:rPr>
                <w:rFonts w:hint="eastAsia" w:ascii="宋体" w:hAnsi="宋体"/>
                <w:kern w:val="0"/>
                <w:sz w:val="24"/>
              </w:rPr>
              <w:t>是、否</w:t>
            </w:r>
            <w:r>
              <w:rPr>
                <w:kern w:val="0"/>
                <w:sz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kern w:val="0"/>
                <w:sz w:val="24"/>
              </w:rPr>
            </w:pPr>
            <w:r>
              <w:rPr>
                <w:rFonts w:hint="eastAsia"/>
                <w:kern w:val="0"/>
                <w:sz w:val="24"/>
                <w:lang w:eastAsia="zh-CN"/>
              </w:rPr>
              <w:t>2.</w:t>
            </w:r>
            <w:r>
              <w:rPr>
                <w:rFonts w:hint="eastAsia" w:ascii="宋体" w:hAnsi="宋体"/>
                <w:kern w:val="0"/>
                <w:sz w:val="24"/>
              </w:rPr>
              <w:t>不允许在工作时间睡觉</w:t>
            </w:r>
            <w:r>
              <w:rPr>
                <w:kern w:val="0"/>
                <w:sz w:val="24"/>
              </w:rPr>
              <w:t xml:space="preserve">      [</w:t>
            </w:r>
            <w:r>
              <w:rPr>
                <w:rFonts w:hint="eastAsia" w:ascii="宋体" w:hAnsi="宋体"/>
                <w:kern w:val="0"/>
                <w:sz w:val="24"/>
              </w:rPr>
              <w:t>是、否</w:t>
            </w:r>
            <w:r>
              <w:rPr>
                <w:kern w:val="0"/>
                <w:sz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kern w:val="0"/>
                <w:sz w:val="24"/>
              </w:rPr>
            </w:pPr>
            <w:r>
              <w:rPr>
                <w:rFonts w:hint="eastAsia"/>
                <w:kern w:val="0"/>
                <w:sz w:val="24"/>
                <w:lang w:eastAsia="zh-CN"/>
              </w:rPr>
              <w:t>3.</w:t>
            </w:r>
            <w:r>
              <w:rPr>
                <w:rFonts w:hint="eastAsia" w:ascii="宋体" w:hAnsi="宋体"/>
                <w:kern w:val="0"/>
                <w:sz w:val="24"/>
              </w:rPr>
              <w:t>不允许在禁烟区内吸烟</w:t>
            </w:r>
            <w:r>
              <w:rPr>
                <w:kern w:val="0"/>
                <w:sz w:val="24"/>
              </w:rPr>
              <w:t xml:space="preserve">      [</w:t>
            </w:r>
            <w:r>
              <w:rPr>
                <w:rFonts w:hint="eastAsia" w:ascii="宋体" w:hAnsi="宋体"/>
                <w:kern w:val="0"/>
                <w:sz w:val="24"/>
              </w:rPr>
              <w:t>是、否</w:t>
            </w:r>
            <w:r>
              <w:rPr>
                <w:kern w:val="0"/>
                <w:sz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kern w:val="0"/>
                <w:sz w:val="24"/>
              </w:rPr>
            </w:pPr>
            <w:r>
              <w:rPr>
                <w:rFonts w:hint="eastAsia"/>
                <w:kern w:val="0"/>
                <w:sz w:val="24"/>
                <w:lang w:eastAsia="zh-CN"/>
              </w:rPr>
              <w:t>4.</w:t>
            </w:r>
            <w:r>
              <w:rPr>
                <w:rFonts w:hint="eastAsia" w:ascii="宋体" w:hAnsi="宋体"/>
                <w:kern w:val="0"/>
                <w:sz w:val="24"/>
              </w:rPr>
              <w:t>严禁在限制区域内使用非防爆移动通信工具</w:t>
            </w:r>
            <w:r>
              <w:rPr>
                <w:kern w:val="0"/>
                <w:sz w:val="24"/>
              </w:rPr>
              <w:t xml:space="preserve">    [</w:t>
            </w:r>
            <w:r>
              <w:rPr>
                <w:rFonts w:hint="eastAsia" w:ascii="宋体" w:hAnsi="宋体"/>
                <w:kern w:val="0"/>
                <w:sz w:val="24"/>
              </w:rPr>
              <w:t>是、否、不适用</w:t>
            </w:r>
            <w:r>
              <w:rPr>
                <w:kern w:val="0"/>
                <w:sz w:val="24"/>
              </w:rPr>
              <w:t xml:space="preserve">]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未佩戴相应区域的临时上岗证不准进行施工作业[是、否、不适用]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 xml:space="preserve">现场未放置饮水瓶及食品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未使用饮用水瓶装化学品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 xml:space="preserve">如实上报各类事故   [是、否]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9.</w:t>
            </w:r>
            <w:r>
              <w:rPr>
                <w:rFonts w:hint="eastAsia" w:ascii="宋体" w:hAnsi="宋体" w:cs="宋体"/>
                <w:kern w:val="0"/>
                <w:sz w:val="24"/>
              </w:rPr>
              <w:t xml:space="preserve">主要施工设备及危险化学品已填表申报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 xml:space="preserve">公司内严禁打架斗殴[是、否]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11.</w:t>
            </w:r>
            <w:r>
              <w:rPr>
                <w:rFonts w:hint="eastAsia" w:ascii="宋体" w:hAnsi="宋体" w:cs="宋体"/>
                <w:kern w:val="0"/>
                <w:sz w:val="24"/>
              </w:rPr>
              <w:t xml:space="preserve">特种作业人员持证操作   [是、否、不适用]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施工人员劳保用品</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工作服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工作鞋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安全帽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呼吸保护用品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眼睛、面部防护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登高作业安全带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听力防护用品 [是、否]</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佩戴防护手套 [是、否]</w:t>
            </w:r>
          </w:p>
        </w:tc>
      </w:tr>
      <w:tr>
        <w:tblPrEx>
          <w:tblCellMar>
            <w:top w:w="0" w:type="dxa"/>
            <w:left w:w="108" w:type="dxa"/>
            <w:bottom w:w="0" w:type="dxa"/>
            <w:right w:w="108" w:type="dxa"/>
          </w:tblCellMar>
        </w:tblPrEx>
        <w:trPr>
          <w:trHeight w:val="39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工作许可证</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《热工作许可证》[是、不适用] 动火点</w:t>
            </w:r>
            <w:r>
              <w:rPr>
                <w:rFonts w:hint="eastAsia" w:ascii="宋体" w:hAnsi="宋体" w:cs="宋体"/>
                <w:kern w:val="0"/>
                <w:sz w:val="20"/>
                <w:szCs w:val="20"/>
                <w:lang w:eastAsia="zh-CN"/>
              </w:rPr>
              <w:t>必须</w:t>
            </w:r>
            <w:r>
              <w:rPr>
                <w:rFonts w:hint="eastAsia" w:ascii="宋体" w:hAnsi="宋体" w:cs="宋体"/>
                <w:kern w:val="0"/>
                <w:sz w:val="20"/>
                <w:szCs w:val="20"/>
              </w:rPr>
              <w:t>放置2</w:t>
            </w:r>
            <w:r>
              <w:rPr>
                <w:rFonts w:hint="eastAsia" w:ascii="宋体" w:hAnsi="宋体" w:cs="宋体"/>
                <w:kern w:val="0"/>
                <w:sz w:val="20"/>
                <w:szCs w:val="20"/>
                <w:lang w:eastAsia="zh-CN"/>
              </w:rPr>
              <w:t>个</w:t>
            </w:r>
            <w:r>
              <w:rPr>
                <w:rFonts w:hint="eastAsia" w:ascii="宋体" w:hAnsi="宋体" w:cs="宋体"/>
                <w:kern w:val="0"/>
                <w:sz w:val="20"/>
                <w:szCs w:val="20"/>
              </w:rPr>
              <w:t>灭火器 [是、不适用]</w:t>
            </w:r>
          </w:p>
        </w:tc>
      </w:tr>
      <w:tr>
        <w:tblPrEx>
          <w:tblCellMar>
            <w:top w:w="0" w:type="dxa"/>
            <w:left w:w="108" w:type="dxa"/>
            <w:bottom w:w="0" w:type="dxa"/>
            <w:right w:w="108" w:type="dxa"/>
          </w:tblCellMar>
        </w:tblPrEx>
        <w:trPr>
          <w:trHeight w:val="30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 xml:space="preserve">《进入限制空间许可证》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 xml:space="preserve">《动土许可证》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 xml:space="preserve">《高处作业许可证》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《电气工作票》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 xml:space="preserve">填写《锁定隔离挂牌记录》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《开管许可证》   [是、不适用] </w:t>
            </w:r>
          </w:p>
        </w:tc>
      </w:tr>
      <w:tr>
        <w:tblPrEx>
          <w:tblCellMar>
            <w:top w:w="0" w:type="dxa"/>
            <w:left w:w="108" w:type="dxa"/>
            <w:bottom w:w="0" w:type="dxa"/>
            <w:right w:w="108" w:type="dxa"/>
          </w:tblCellMar>
        </w:tblPrEx>
        <w:trPr>
          <w:trHeight w:val="66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8.</w:t>
            </w:r>
            <w:r>
              <w:rPr>
                <w:rFonts w:hint="eastAsia" w:ascii="宋体" w:hAnsi="宋体" w:cs="宋体"/>
                <w:kern w:val="0"/>
                <w:sz w:val="20"/>
                <w:szCs w:val="20"/>
              </w:rPr>
              <w:t>在丙酮管道上进行作业前，</w:t>
            </w:r>
            <w:r>
              <w:rPr>
                <w:rFonts w:hint="eastAsia" w:ascii="宋体" w:hAnsi="宋体" w:cs="宋体"/>
                <w:kern w:val="0"/>
                <w:sz w:val="20"/>
                <w:szCs w:val="20"/>
                <w:lang w:eastAsia="zh-CN"/>
              </w:rPr>
              <w:t>先</w:t>
            </w:r>
            <w:r>
              <w:rPr>
                <w:rFonts w:hint="eastAsia" w:ascii="宋体" w:hAnsi="宋体" w:cs="宋体"/>
                <w:kern w:val="0"/>
                <w:sz w:val="20"/>
                <w:szCs w:val="20"/>
              </w:rPr>
              <w:t xml:space="preserve">加设盲板确保施工部位被可靠分离，再对施工部位管内用水置换。在丙酮管进行仪表校验开管的，必须获得工艺人员的认可。[是、不适用] </w:t>
            </w:r>
          </w:p>
        </w:tc>
      </w:tr>
      <w:tr>
        <w:tblPrEx>
          <w:tblCellMar>
            <w:top w:w="0" w:type="dxa"/>
            <w:left w:w="108" w:type="dxa"/>
            <w:bottom w:w="0" w:type="dxa"/>
            <w:right w:w="108" w:type="dxa"/>
          </w:tblCellMar>
        </w:tblPrEx>
        <w:trPr>
          <w:trHeight w:val="330" w:hRule="atLeast"/>
        </w:trPr>
        <w:tc>
          <w:tcPr>
            <w:tcW w:w="2160"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焊接和气瓶管理</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 xml:space="preserve">瓶帽，2道防震圈齐全；使用保持直立，固定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 xml:space="preserve">乙炔气瓶必须安装阻火阀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 xml:space="preserve">氧气瓶严禁与油脂接触   [是、否、不适用] </w:t>
            </w:r>
          </w:p>
        </w:tc>
      </w:tr>
      <w:tr>
        <w:tblPrEx>
          <w:tblCellMar>
            <w:top w:w="0" w:type="dxa"/>
            <w:left w:w="108" w:type="dxa"/>
            <w:bottom w:w="0" w:type="dxa"/>
            <w:right w:w="108" w:type="dxa"/>
          </w:tblCellMar>
        </w:tblPrEx>
        <w:trPr>
          <w:trHeight w:val="54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4.</w:t>
            </w:r>
            <w:r>
              <w:rPr>
                <w:rFonts w:hint="eastAsia" w:ascii="宋体" w:hAnsi="宋体" w:cs="宋体"/>
                <w:kern w:val="0"/>
                <w:sz w:val="22"/>
                <w:szCs w:val="22"/>
              </w:rPr>
              <w:t>氧气与乙炔气瓶间</w:t>
            </w:r>
            <w:r>
              <w:rPr>
                <w:rFonts w:hint="eastAsia" w:ascii="宋体" w:hAnsi="宋体" w:cs="宋体"/>
                <w:kern w:val="0"/>
                <w:sz w:val="22"/>
                <w:szCs w:val="22"/>
                <w:lang w:eastAsia="zh-CN"/>
              </w:rPr>
              <w:t>5</w:t>
            </w:r>
            <w:r>
              <w:rPr>
                <w:rFonts w:hint="eastAsia" w:ascii="宋体" w:hAnsi="宋体" w:cs="宋体"/>
                <w:kern w:val="0"/>
                <w:sz w:val="22"/>
                <w:szCs w:val="22"/>
              </w:rPr>
              <w:t>米以上距离，乙炔气瓶离火源距离</w:t>
            </w:r>
            <w:r>
              <w:rPr>
                <w:rFonts w:hint="eastAsia" w:ascii="宋体" w:hAnsi="宋体" w:cs="宋体"/>
                <w:kern w:val="0"/>
                <w:sz w:val="22"/>
                <w:szCs w:val="22"/>
                <w:lang w:eastAsia="zh-CN"/>
              </w:rPr>
              <w:t>10</w:t>
            </w:r>
            <w:r>
              <w:rPr>
                <w:rFonts w:hint="eastAsia" w:ascii="宋体" w:hAnsi="宋体" w:cs="宋体"/>
                <w:kern w:val="0"/>
                <w:sz w:val="22"/>
                <w:szCs w:val="22"/>
              </w:rPr>
              <w:t xml:space="preserve">米以上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气瓶禁止阳光暴晒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 xml:space="preserve">气瓶存放处有灭火设施和警示标识，通风良好  [是、否、不适用] </w:t>
            </w:r>
          </w:p>
        </w:tc>
      </w:tr>
      <w:tr>
        <w:tblPrEx>
          <w:tblCellMar>
            <w:top w:w="0" w:type="dxa"/>
            <w:left w:w="108" w:type="dxa"/>
            <w:bottom w:w="0" w:type="dxa"/>
            <w:right w:w="108" w:type="dxa"/>
          </w:tblCellMar>
        </w:tblPrEx>
        <w:trPr>
          <w:trHeight w:val="61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使用气瓶时，瓶内气体不得用尽。溶解乙炔气瓶的剩余压力应不小于0.05Mpa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 xml:space="preserve">气瓶不放在可能有重物下落的地方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9.</w:t>
            </w:r>
            <w:r>
              <w:rPr>
                <w:rFonts w:hint="eastAsia" w:ascii="宋体" w:hAnsi="宋体" w:cs="宋体"/>
                <w:kern w:val="0"/>
                <w:sz w:val="24"/>
              </w:rPr>
              <w:t xml:space="preserve">搬运气瓶不准发生碰撞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 xml:space="preserve">压力表完好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11.</w:t>
            </w:r>
            <w:r>
              <w:rPr>
                <w:rFonts w:hint="eastAsia" w:ascii="宋体" w:hAnsi="宋体" w:cs="宋体"/>
                <w:kern w:val="0"/>
                <w:sz w:val="24"/>
              </w:rPr>
              <w:t xml:space="preserve">气管无老化、开裂，接头不漏气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12.</w:t>
            </w:r>
            <w:r>
              <w:rPr>
                <w:rFonts w:hint="eastAsia" w:ascii="宋体" w:hAnsi="宋体" w:cs="宋体"/>
                <w:kern w:val="0"/>
                <w:sz w:val="24"/>
              </w:rPr>
              <w:t xml:space="preserve">焊机外壳完整，接线柱无祼露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13.</w:t>
            </w:r>
            <w:r>
              <w:rPr>
                <w:rFonts w:hint="eastAsia" w:ascii="宋体" w:hAnsi="宋体" w:cs="宋体"/>
                <w:kern w:val="0"/>
                <w:sz w:val="24"/>
              </w:rPr>
              <w:t xml:space="preserve">焊机一次、二次线无破损、使用铜芯线、无接头 [是、否、不适用] </w:t>
            </w:r>
          </w:p>
        </w:tc>
      </w:tr>
      <w:tr>
        <w:tblPrEx>
          <w:tblCellMar>
            <w:top w:w="0" w:type="dxa"/>
            <w:left w:w="108" w:type="dxa"/>
            <w:bottom w:w="0" w:type="dxa"/>
            <w:right w:w="108" w:type="dxa"/>
          </w:tblCellMar>
        </w:tblPrEx>
        <w:trPr>
          <w:trHeight w:val="55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14.</w:t>
            </w:r>
            <w:r>
              <w:rPr>
                <w:rFonts w:hint="eastAsia" w:ascii="宋体" w:hAnsi="宋体" w:cs="宋体"/>
                <w:kern w:val="0"/>
                <w:sz w:val="22"/>
                <w:szCs w:val="22"/>
              </w:rPr>
              <w:t>焊机的地线要直接可靠地与被焊工件连接，严禁利用厂房的金属结构、管道、轨道或</w:t>
            </w:r>
            <w:r>
              <w:rPr>
                <w:rFonts w:hint="eastAsia" w:ascii="宋体" w:hAnsi="宋体" w:cs="宋体"/>
                <w:kern w:val="0"/>
                <w:sz w:val="22"/>
                <w:szCs w:val="22"/>
                <w:lang w:eastAsia="zh-CN"/>
              </w:rPr>
              <w:t>其他</w:t>
            </w:r>
            <w:r>
              <w:rPr>
                <w:rFonts w:hint="eastAsia" w:ascii="宋体" w:hAnsi="宋体" w:cs="宋体"/>
                <w:kern w:val="0"/>
                <w:sz w:val="22"/>
                <w:szCs w:val="22"/>
              </w:rPr>
              <w:t>金属搭接起来作为导线</w:t>
            </w:r>
            <w:r>
              <w:rPr>
                <w:rFonts w:hint="eastAsia" w:ascii="宋体" w:hAnsi="宋体" w:cs="宋体"/>
                <w:kern w:val="0"/>
                <w:sz w:val="22"/>
                <w:szCs w:val="22"/>
                <w:lang w:eastAsia="zh-CN"/>
              </w:rPr>
              <w:t>使用</w:t>
            </w:r>
            <w:r>
              <w:rPr>
                <w:rFonts w:hint="eastAsia" w:ascii="宋体" w:hAnsi="宋体" w:cs="宋体"/>
                <w:kern w:val="0"/>
                <w:sz w:val="22"/>
                <w:szCs w:val="22"/>
              </w:rPr>
              <w:t xml:space="preserve">    [是、否、不适用] </w:t>
            </w:r>
          </w:p>
        </w:tc>
      </w:tr>
      <w:tr>
        <w:tblPrEx>
          <w:tblCellMar>
            <w:top w:w="0" w:type="dxa"/>
            <w:left w:w="108" w:type="dxa"/>
            <w:bottom w:w="0" w:type="dxa"/>
            <w:right w:w="108" w:type="dxa"/>
          </w:tblCellMar>
        </w:tblPrEx>
        <w:trPr>
          <w:trHeight w:val="312"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15.</w:t>
            </w:r>
            <w:r>
              <w:rPr>
                <w:rFonts w:hint="eastAsia" w:ascii="宋体" w:hAnsi="宋体" w:cs="宋体"/>
                <w:kern w:val="0"/>
                <w:sz w:val="24"/>
              </w:rPr>
              <w:t xml:space="preserve">焊、割作业之前做好隔离，防止焊渣火花乱窜。焊、割作业结束后必须及时清理现场，清除残余火种。    [是、否、不适用] </w:t>
            </w:r>
          </w:p>
        </w:tc>
      </w:tr>
      <w:tr>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7780" w:type="dxa"/>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梯子</w:t>
            </w:r>
          </w:p>
        </w:tc>
        <w:tc>
          <w:tcPr>
            <w:tcW w:w="7780" w:type="dxa"/>
            <w:tcBorders>
              <w:top w:val="single" w:color="auto" w:sz="8"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 xml:space="preserve">梯子完整，有防滑垫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梯子长</w:t>
            </w:r>
            <w:r>
              <w:rPr>
                <w:rFonts w:hint="eastAsia" w:ascii="宋体" w:hAnsi="宋体" w:cs="宋体"/>
                <w:kern w:val="0"/>
                <w:sz w:val="24"/>
                <w:lang w:eastAsia="zh-CN"/>
              </w:rPr>
              <w:t>度能</w:t>
            </w:r>
            <w:bookmarkStart w:id="5" w:name="_GoBack"/>
            <w:bookmarkEnd w:id="5"/>
            <w:r>
              <w:rPr>
                <w:rFonts w:hint="eastAsia" w:ascii="宋体" w:hAnsi="宋体" w:cs="宋体"/>
                <w:kern w:val="0"/>
                <w:sz w:val="24"/>
              </w:rPr>
              <w:t xml:space="preserve">够与要到达的工作面相配合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3.</w:t>
            </w:r>
            <w:r>
              <w:rPr>
                <w:rFonts w:hint="eastAsia" w:ascii="宋体" w:hAnsi="宋体" w:cs="宋体"/>
                <w:kern w:val="0"/>
                <w:sz w:val="22"/>
                <w:szCs w:val="22"/>
              </w:rPr>
              <w:t xml:space="preserve">注意支设在平整地方，角度60－70度，有人护梯 [是、否、不适用] </w:t>
            </w:r>
          </w:p>
        </w:tc>
      </w:tr>
      <w:tr>
        <w:tblPrEx>
          <w:tblCellMar>
            <w:top w:w="0" w:type="dxa"/>
            <w:left w:w="108" w:type="dxa"/>
            <w:bottom w:w="0" w:type="dxa"/>
            <w:right w:w="108" w:type="dxa"/>
          </w:tblCellMar>
        </w:tblPrEx>
        <w:trPr>
          <w:trHeight w:val="39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 xml:space="preserve">当在电气设备或接近电线的设备上工作时不能使用金属梯子    [是、否、不适用] </w:t>
            </w:r>
          </w:p>
        </w:tc>
      </w:tr>
      <w:tr>
        <w:tblPrEx>
          <w:tblCellMar>
            <w:top w:w="0" w:type="dxa"/>
            <w:left w:w="108" w:type="dxa"/>
            <w:bottom w:w="0" w:type="dxa"/>
            <w:right w:w="108" w:type="dxa"/>
          </w:tblCellMar>
        </w:tblPrEx>
        <w:trPr>
          <w:trHeight w:val="57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 除了特殊情况（如进入罐体的特殊设计的楼梯），梯子的宽度至少不低于300</w:t>
            </w:r>
            <w:r>
              <w:rPr>
                <w:rFonts w:hint="eastAsia" w:ascii="宋体" w:hAnsi="宋体" w:cs="宋体"/>
                <w:kern w:val="0"/>
                <w:sz w:val="24"/>
                <w:lang w:eastAsia="zh-CN"/>
              </w:rPr>
              <w:t>mm</w:t>
            </w:r>
            <w:r>
              <w:rPr>
                <w:rFonts w:hint="eastAsia" w:ascii="宋体" w:hAnsi="宋体" w:cs="宋体"/>
                <w:kern w:val="0"/>
                <w:sz w:val="24"/>
              </w:rPr>
              <w:t xml:space="preserve">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6.</w:t>
            </w:r>
            <w:r>
              <w:rPr>
                <w:rFonts w:hint="eastAsia" w:ascii="宋体" w:hAnsi="宋体" w:cs="宋体"/>
                <w:kern w:val="0"/>
                <w:sz w:val="22"/>
                <w:szCs w:val="22"/>
              </w:rPr>
              <w:t>多段梯子搭接使用时，</w:t>
            </w:r>
            <w:r>
              <w:rPr>
                <w:rFonts w:hint="eastAsia" w:ascii="宋体" w:hAnsi="宋体" w:cs="宋体"/>
                <w:kern w:val="0"/>
                <w:sz w:val="22"/>
                <w:szCs w:val="22"/>
                <w:lang w:eastAsia="zh-CN"/>
              </w:rPr>
              <w:t>叠合</w:t>
            </w:r>
            <w:r>
              <w:rPr>
                <w:rFonts w:hint="eastAsia" w:ascii="宋体" w:hAnsi="宋体" w:cs="宋体"/>
                <w:kern w:val="0"/>
                <w:sz w:val="22"/>
                <w:szCs w:val="22"/>
              </w:rPr>
              <w:t>部分不应小于等于900</w:t>
            </w:r>
            <w:r>
              <w:rPr>
                <w:rFonts w:hint="eastAsia" w:ascii="宋体" w:hAnsi="宋体" w:cs="宋体"/>
                <w:kern w:val="0"/>
                <w:sz w:val="22"/>
                <w:szCs w:val="22"/>
                <w:lang w:eastAsia="zh-CN"/>
              </w:rPr>
              <w:t>mm</w:t>
            </w:r>
            <w:r>
              <w:rPr>
                <w:rFonts w:hint="eastAsia" w:ascii="宋体" w:hAnsi="宋体" w:cs="宋体"/>
                <w:kern w:val="0"/>
                <w:sz w:val="22"/>
                <w:szCs w:val="22"/>
              </w:rPr>
              <w:t xml:space="preserve">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活动梯长度不得超过6米；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 xml:space="preserve">梯子立在坚实的地面上，地面上无油污等。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9.</w:t>
            </w:r>
            <w:r>
              <w:rPr>
                <w:rFonts w:hint="eastAsia" w:ascii="宋体" w:hAnsi="宋体" w:cs="宋体"/>
                <w:kern w:val="0"/>
                <w:sz w:val="24"/>
              </w:rPr>
              <w:t xml:space="preserve">不能使用有任何损坏的梯子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 xml:space="preserve">不站在梯子的最高的踏步上操作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11.</w:t>
            </w:r>
            <w:r>
              <w:rPr>
                <w:rFonts w:hint="eastAsia" w:ascii="宋体" w:hAnsi="宋体" w:cs="宋体"/>
                <w:kern w:val="0"/>
                <w:sz w:val="24"/>
              </w:rPr>
              <w:t xml:space="preserve">不要双手持物上、下梯子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12.</w:t>
            </w:r>
            <w:r>
              <w:rPr>
                <w:rFonts w:hint="eastAsia" w:ascii="宋体" w:hAnsi="宋体" w:cs="宋体"/>
                <w:kern w:val="0"/>
                <w:sz w:val="24"/>
              </w:rPr>
              <w:t xml:space="preserve">不要超过梯子边缘探出上身至腰部，保持重心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13.</w:t>
            </w:r>
            <w:r>
              <w:rPr>
                <w:rFonts w:hint="eastAsia" w:ascii="宋体" w:hAnsi="宋体" w:cs="宋体"/>
                <w:kern w:val="0"/>
                <w:sz w:val="24"/>
              </w:rPr>
              <w:t xml:space="preserve">必须将楼梯伸出比你的工作面高出3个横档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14.</w:t>
            </w:r>
            <w:r>
              <w:rPr>
                <w:rFonts w:hint="eastAsia" w:ascii="宋体" w:hAnsi="宋体" w:cs="宋体"/>
                <w:kern w:val="0"/>
                <w:sz w:val="24"/>
              </w:rPr>
              <w:t xml:space="preserve">梯子必须捆绑或由监护人员扶住，以防滑动。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15.</w:t>
            </w:r>
            <w:r>
              <w:rPr>
                <w:rFonts w:hint="eastAsia" w:ascii="宋体" w:hAnsi="宋体" w:cs="宋体"/>
                <w:kern w:val="0"/>
                <w:sz w:val="24"/>
              </w:rPr>
              <w:t xml:space="preserve">使用梯子时请使用防滑工作鞋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16.</w:t>
            </w:r>
            <w:r>
              <w:rPr>
                <w:rFonts w:hint="eastAsia" w:ascii="宋体" w:hAnsi="宋体" w:cs="宋体"/>
                <w:kern w:val="0"/>
                <w:sz w:val="24"/>
              </w:rPr>
              <w:t xml:space="preserve">不能在楼梯上堆放杂物     [是、否、不适用] </w:t>
            </w:r>
          </w:p>
        </w:tc>
      </w:tr>
      <w:tr>
        <w:tblPrEx>
          <w:tblCellMar>
            <w:top w:w="0" w:type="dxa"/>
            <w:left w:w="108" w:type="dxa"/>
            <w:bottom w:w="0" w:type="dxa"/>
            <w:right w:w="108" w:type="dxa"/>
          </w:tblCellMar>
        </w:tblPrEx>
        <w:trPr>
          <w:trHeight w:val="57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脚手架</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项目负责人应组织施工单位按规范对脚手</w:t>
            </w:r>
            <w:r>
              <w:rPr>
                <w:rFonts w:hint="eastAsia" w:ascii="宋体" w:hAnsi="宋体" w:cs="宋体"/>
                <w:kern w:val="0"/>
                <w:sz w:val="24"/>
                <w:lang w:eastAsia="zh-CN"/>
              </w:rPr>
              <w:t>架</w:t>
            </w:r>
            <w:r>
              <w:rPr>
                <w:rFonts w:hint="eastAsia" w:ascii="宋体" w:hAnsi="宋体" w:cs="宋体"/>
                <w:kern w:val="0"/>
                <w:sz w:val="24"/>
              </w:rPr>
              <w:t xml:space="preserve">进行验收，验收合格后挂上“验收合格标牌”    [是、不适用] </w:t>
            </w:r>
          </w:p>
        </w:tc>
      </w:tr>
      <w:tr>
        <w:tblPrEx>
          <w:tblCellMar>
            <w:top w:w="0" w:type="dxa"/>
            <w:left w:w="108" w:type="dxa"/>
            <w:bottom w:w="0" w:type="dxa"/>
            <w:right w:w="108" w:type="dxa"/>
          </w:tblCellMar>
        </w:tblPrEx>
        <w:trPr>
          <w:trHeight w:val="64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 xml:space="preserve">钢管扣件式单排脚手架立杆间距撗向不得超过1.5米，纵向不得超过1.8米。步距不得超过1.8米。     [是、不适用] </w:t>
            </w:r>
          </w:p>
        </w:tc>
      </w:tr>
      <w:tr>
        <w:tblPrEx>
          <w:tblCellMar>
            <w:top w:w="0" w:type="dxa"/>
            <w:left w:w="108" w:type="dxa"/>
            <w:bottom w:w="0" w:type="dxa"/>
            <w:right w:w="108" w:type="dxa"/>
          </w:tblCellMar>
        </w:tblPrEx>
        <w:trPr>
          <w:trHeight w:val="63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操作层必须满足：跳板满铺、设安全</w:t>
            </w:r>
            <w:r>
              <w:rPr>
                <w:rFonts w:hint="eastAsia" w:ascii="宋体" w:hAnsi="宋体" w:cs="宋体"/>
                <w:kern w:val="0"/>
                <w:sz w:val="24"/>
                <w:lang w:eastAsia="zh-CN"/>
              </w:rPr>
              <w:t>护栏</w:t>
            </w:r>
            <w:r>
              <w:rPr>
                <w:rFonts w:hint="eastAsia" w:ascii="宋体" w:hAnsi="宋体" w:cs="宋体"/>
                <w:kern w:val="0"/>
                <w:sz w:val="24"/>
              </w:rPr>
              <w:t xml:space="preserve">和贴脚板、张挂立网。当操作层跳板未满铺时，必须在操作层下满铺安全平网。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 xml:space="preserve">应设置人员上下的梯子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5.</w:t>
            </w:r>
            <w:r>
              <w:rPr>
                <w:rFonts w:hint="eastAsia" w:ascii="宋体" w:hAnsi="宋体" w:cs="宋体"/>
                <w:kern w:val="0"/>
                <w:sz w:val="22"/>
                <w:szCs w:val="22"/>
              </w:rPr>
              <w:t xml:space="preserve">脚手架须与构筑物连接或有足够的斜撑，以防止倾倒。[是、不适用] </w:t>
            </w:r>
          </w:p>
        </w:tc>
      </w:tr>
      <w:tr>
        <w:tblPrEx>
          <w:tblCellMar>
            <w:top w:w="0" w:type="dxa"/>
            <w:left w:w="108" w:type="dxa"/>
            <w:bottom w:w="0" w:type="dxa"/>
            <w:right w:w="108" w:type="dxa"/>
          </w:tblCellMar>
        </w:tblPrEx>
        <w:trPr>
          <w:trHeight w:val="39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lang w:eastAsia="zh-CN"/>
              </w:rPr>
              <w:t>6.</w:t>
            </w:r>
            <w:r>
              <w:rPr>
                <w:rFonts w:hint="eastAsia" w:ascii="宋体" w:hAnsi="宋体" w:cs="宋体"/>
                <w:kern w:val="0"/>
                <w:szCs w:val="21"/>
              </w:rPr>
              <w:t xml:space="preserve">脚手架搭设在松软地面上时，钢管底部应使用5CM以上的垫木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移动式脚手架高度不得超过5米。    [是、不适用]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防坠落保护</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1.</w:t>
            </w:r>
            <w:r>
              <w:rPr>
                <w:rFonts w:hint="eastAsia" w:ascii="宋体" w:hAnsi="宋体" w:cs="宋体"/>
                <w:kern w:val="0"/>
                <w:sz w:val="22"/>
                <w:szCs w:val="22"/>
              </w:rPr>
              <w:t>2米及以上高度施工时必须</w:t>
            </w:r>
            <w:r>
              <w:rPr>
                <w:rFonts w:hint="eastAsia" w:ascii="宋体" w:hAnsi="宋体" w:cs="宋体"/>
                <w:kern w:val="0"/>
                <w:sz w:val="22"/>
                <w:szCs w:val="22"/>
                <w:lang w:eastAsia="zh-CN"/>
              </w:rPr>
              <w:t>采取</w:t>
            </w:r>
            <w:r>
              <w:rPr>
                <w:rFonts w:hint="eastAsia" w:ascii="宋体" w:hAnsi="宋体" w:cs="宋体"/>
                <w:kern w:val="0"/>
                <w:sz w:val="22"/>
                <w:szCs w:val="22"/>
              </w:rPr>
              <w:t xml:space="preserve">安全带或有效防坠措施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 xml:space="preserve">安全网、安全带无破损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 xml:space="preserve">安全带未高挂高低用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 xml:space="preserve">临边有防护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预留洞口、地坑封堵，周边有警示隔离带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 xml:space="preserve">未经许可不进行交叉作业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通道上方施工时须封闭道路或</w:t>
            </w:r>
            <w:r>
              <w:rPr>
                <w:rFonts w:hint="eastAsia" w:ascii="宋体" w:hAnsi="宋体" w:cs="宋体"/>
                <w:kern w:val="0"/>
                <w:sz w:val="24"/>
                <w:lang w:eastAsia="zh-CN"/>
              </w:rPr>
              <w:t>设置</w:t>
            </w:r>
            <w:r>
              <w:rPr>
                <w:rFonts w:hint="eastAsia" w:ascii="宋体" w:hAnsi="宋体" w:cs="宋体"/>
                <w:kern w:val="0"/>
                <w:sz w:val="24"/>
              </w:rPr>
              <w:t xml:space="preserve">防护棚    [是、不适用]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 xml:space="preserve">禁止抛、扔工件、材料    [是、不适用] </w:t>
            </w:r>
          </w:p>
        </w:tc>
      </w:tr>
      <w:tr>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文明施工</w:t>
            </w: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 xml:space="preserve">工具材料分类堆放整齐有序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 xml:space="preserve">施工区域周边设警示带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3.</w:t>
            </w:r>
            <w:r>
              <w:rPr>
                <w:rFonts w:hint="eastAsia" w:ascii="宋体" w:hAnsi="宋体" w:cs="宋体"/>
                <w:kern w:val="0"/>
                <w:sz w:val="22"/>
                <w:szCs w:val="22"/>
              </w:rPr>
              <w:t xml:space="preserve">废物、垃圾收存处理，清洗剂、油类等未排入雨水沟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 xml:space="preserve">施工现场无积水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 xml:space="preserve">做到工完场地清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eastAsia="zh-CN"/>
              </w:rPr>
              <w:t>6.</w:t>
            </w:r>
            <w:r>
              <w:rPr>
                <w:rFonts w:hint="eastAsia" w:ascii="宋体" w:hAnsi="宋体" w:cs="宋体"/>
                <w:kern w:val="0"/>
                <w:sz w:val="22"/>
                <w:szCs w:val="22"/>
              </w:rPr>
              <w:t xml:space="preserve">易燃易爆品分类存放于有标识和灭火设施的指定地点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 xml:space="preserve">无防粉尘、防噪声措施    [是、否、不适用] </w:t>
            </w:r>
          </w:p>
        </w:tc>
      </w:tr>
      <w:tr>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7780" w:type="dxa"/>
            <w:tcBorders>
              <w:top w:val="single" w:color="auto" w:sz="4" w:space="0"/>
              <w:left w:val="nil"/>
              <w:bottom w:val="nil"/>
              <w:right w:val="single" w:color="000000" w:sz="8"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 xml:space="preserve">禁止在现场焚烧物品    [是、否、不适用] </w:t>
            </w:r>
          </w:p>
        </w:tc>
      </w:tr>
      <w:tr>
        <w:tblPrEx>
          <w:tblCellMar>
            <w:top w:w="0" w:type="dxa"/>
            <w:left w:w="108" w:type="dxa"/>
            <w:bottom w:w="0" w:type="dxa"/>
            <w:right w:w="108" w:type="dxa"/>
          </w:tblCellMar>
        </w:tblPrEx>
        <w:trPr>
          <w:trHeight w:val="315" w:hRule="atLeast"/>
        </w:trPr>
        <w:tc>
          <w:tcPr>
            <w:tcW w:w="9940" w:type="dxa"/>
            <w:gridSpan w:val="2"/>
            <w:vMerge w:val="restart"/>
            <w:tcBorders>
              <w:top w:val="single" w:color="auto" w:sz="4" w:space="0"/>
              <w:left w:val="single" w:color="auto" w:sz="8" w:space="0"/>
              <w:bottom w:val="single" w:color="000000" w:sz="8" w:space="0"/>
              <w:right w:val="single" w:color="000000"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备注：</w:t>
            </w:r>
          </w:p>
        </w:tc>
      </w:tr>
      <w:tr>
        <w:tblPrEx>
          <w:tblCellMar>
            <w:top w:w="0" w:type="dxa"/>
            <w:left w:w="108" w:type="dxa"/>
            <w:bottom w:w="0" w:type="dxa"/>
            <w:right w:w="108" w:type="dxa"/>
          </w:tblCellMar>
        </w:tblPrEx>
        <w:trPr>
          <w:trHeight w:val="315"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5"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20" w:hRule="atLeast"/>
        </w:trPr>
        <w:tc>
          <w:tcPr>
            <w:tcW w:w="9940" w:type="dxa"/>
            <w:gridSpan w:val="2"/>
            <w:tcBorders>
              <w:top w:val="single" w:color="auto" w:sz="8" w:space="0"/>
              <w:left w:val="nil"/>
              <w:bottom w:val="nil"/>
              <w:right w:val="nil"/>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xml:space="preserve">                                    签发人：</w:t>
            </w:r>
          </w:p>
        </w:tc>
      </w:tr>
    </w:tbl>
    <w:p>
      <w:pPr>
        <w:widowControl/>
        <w:rPr>
          <w:rFonts w:ascii="宋体" w:hAnsi="宋体" w:cs="宋体"/>
          <w:b/>
          <w:bCs/>
          <w:kern w:val="0"/>
          <w:sz w:val="24"/>
        </w:rPr>
      </w:pPr>
    </w:p>
    <w:p>
      <w:pPr>
        <w:widowControl/>
        <w:rPr>
          <w:rFonts w:ascii="宋体" w:hAnsi="宋体" w:cs="宋体"/>
          <w:b/>
          <w:bCs/>
          <w:kern w:val="0"/>
          <w:sz w:val="24"/>
        </w:rPr>
      </w:pPr>
    </w:p>
    <w:p>
      <w:pPr>
        <w:widowControl/>
        <w:rPr>
          <w:rFonts w:hint="eastAsia" w:ascii="宋体" w:hAnsi="宋体" w:cs="宋体"/>
          <w:b/>
          <w:bCs/>
          <w:kern w:val="0"/>
          <w:sz w:val="24"/>
        </w:rPr>
      </w:pPr>
    </w:p>
    <w:p>
      <w:pPr>
        <w:widowControl/>
        <w:rPr>
          <w:rFonts w:ascii="宋体" w:hAnsi="宋体" w:cs="宋体"/>
          <w:b/>
          <w:bCs/>
          <w:kern w:val="0"/>
          <w:sz w:val="24"/>
        </w:rPr>
      </w:pPr>
      <w:r>
        <w:rPr>
          <w:rFonts w:hint="eastAsia" w:ascii="宋体" w:hAnsi="宋体" w:cs="宋体"/>
          <w:b/>
          <w:bCs/>
          <w:kern w:val="0"/>
          <w:sz w:val="24"/>
        </w:rPr>
        <w:t>附表二：</w:t>
      </w:r>
    </w:p>
    <w:p>
      <w:pPr>
        <w:adjustRightInd w:val="0"/>
        <w:snapToGrid w:val="0"/>
        <w:spacing w:line="300" w:lineRule="auto"/>
        <w:rPr>
          <w:rFonts w:hAnsi="宋体"/>
          <w:sz w:val="24"/>
        </w:rPr>
      </w:pPr>
    </w:p>
    <w:tbl>
      <w:tblPr>
        <w:tblStyle w:val="6"/>
        <w:tblW w:w="9852" w:type="dxa"/>
        <w:tblInd w:w="-764" w:type="dxa"/>
        <w:tblLayout w:type="autofit"/>
        <w:tblCellMar>
          <w:top w:w="0" w:type="dxa"/>
          <w:left w:w="108" w:type="dxa"/>
          <w:bottom w:w="0" w:type="dxa"/>
          <w:right w:w="108" w:type="dxa"/>
        </w:tblCellMar>
      </w:tblPr>
      <w:tblGrid>
        <w:gridCol w:w="1389"/>
        <w:gridCol w:w="4036"/>
        <w:gridCol w:w="1055"/>
        <w:gridCol w:w="900"/>
        <w:gridCol w:w="1356"/>
        <w:gridCol w:w="1116"/>
      </w:tblGrid>
      <w:tr>
        <w:tblPrEx>
          <w:tblCellMar>
            <w:top w:w="0" w:type="dxa"/>
            <w:left w:w="108" w:type="dxa"/>
            <w:bottom w:w="0" w:type="dxa"/>
            <w:right w:w="108" w:type="dxa"/>
          </w:tblCellMar>
        </w:tblPrEx>
        <w:trPr>
          <w:trHeight w:val="510" w:hRule="atLeast"/>
        </w:trPr>
        <w:tc>
          <w:tcPr>
            <w:tcW w:w="9852" w:type="dxa"/>
            <w:gridSpan w:val="6"/>
            <w:tcBorders>
              <w:top w:val="nil"/>
              <w:left w:val="nil"/>
              <w:bottom w:val="single" w:color="auto" w:sz="8" w:space="0"/>
              <w:right w:val="nil"/>
            </w:tcBorders>
            <w:shd w:val="clear" w:color="auto" w:fill="FFFFFF"/>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移动电器检查（监护）表</w:t>
            </w:r>
          </w:p>
        </w:tc>
      </w:tr>
      <w:tr>
        <w:tblPrEx>
          <w:tblCellMar>
            <w:top w:w="0" w:type="dxa"/>
            <w:left w:w="108" w:type="dxa"/>
            <w:bottom w:w="0" w:type="dxa"/>
            <w:right w:w="108" w:type="dxa"/>
          </w:tblCellMar>
        </w:tblPrEx>
        <w:trPr>
          <w:trHeight w:val="495" w:hRule="atLeast"/>
        </w:trPr>
        <w:tc>
          <w:tcPr>
            <w:tcW w:w="1389" w:type="dxa"/>
            <w:tcBorders>
              <w:top w:val="nil"/>
              <w:left w:val="single" w:color="auto" w:sz="8" w:space="0"/>
              <w:bottom w:val="nil"/>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设备名称</w:t>
            </w:r>
          </w:p>
        </w:tc>
        <w:tc>
          <w:tcPr>
            <w:tcW w:w="4036" w:type="dxa"/>
            <w:tcBorders>
              <w:top w:val="single" w:color="auto" w:sz="8"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055" w:type="dxa"/>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承包商</w:t>
            </w:r>
          </w:p>
        </w:tc>
        <w:tc>
          <w:tcPr>
            <w:tcW w:w="900" w:type="dxa"/>
            <w:tcBorders>
              <w:top w:val="single" w:color="auto" w:sz="8"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356"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检查日期</w:t>
            </w:r>
          </w:p>
        </w:tc>
        <w:tc>
          <w:tcPr>
            <w:tcW w:w="1116" w:type="dxa"/>
            <w:tcBorders>
              <w:top w:val="nil"/>
              <w:left w:val="nil"/>
              <w:bottom w:val="nil"/>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检查内容</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检查结果及安全措施</w:t>
            </w:r>
          </w:p>
        </w:tc>
        <w:tc>
          <w:tcPr>
            <w:tcW w:w="1116"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检查</w:t>
            </w:r>
            <w:r>
              <w:rPr>
                <w:rFonts w:hint="eastAsia" w:ascii="宋体" w:hAnsi="宋体" w:cs="宋体"/>
                <w:kern w:val="0"/>
                <w:sz w:val="24"/>
                <w:lang w:eastAsia="zh-CN"/>
              </w:rPr>
              <w:t>人员</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属于那类移动电器</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是否防爆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外观是否完好</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I类电器是否有保护接地/漏电保护 </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绝缘是否可靠</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是否使用双绝缘护套电缆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电缆是否完整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40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是否正规接线插头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9</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是否一机、一闸、一锁、一漏电</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插线板上负荷是否满足要求</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11</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电源电压是否匹配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使用场所：</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防爆区域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施工地面潮湿</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电缆穿越道路</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电缆妨碍工艺操作</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高温、腐蚀区域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金属容器内</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116"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12" w:hRule="atLeast"/>
        </w:trPr>
        <w:tc>
          <w:tcPr>
            <w:tcW w:w="9852" w:type="dxa"/>
            <w:gridSpan w:val="6"/>
            <w:vMerge w:val="restart"/>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4"/>
              </w:rPr>
            </w:pPr>
          </w:p>
        </w:tc>
      </w:tr>
    </w:tbl>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Ansi="宋体"/>
          <w:sz w:val="24"/>
        </w:rPr>
      </w:pPr>
    </w:p>
    <w:p>
      <w:pPr>
        <w:adjustRightInd w:val="0"/>
        <w:snapToGrid w:val="0"/>
        <w:spacing w:line="300" w:lineRule="auto"/>
        <w:rPr>
          <w:rFonts w:hint="eastAsia" w:hAnsi="宋体"/>
          <w:sz w:val="24"/>
        </w:rPr>
      </w:pPr>
    </w:p>
    <w:p>
      <w:pPr>
        <w:widowControl/>
        <w:rPr>
          <w:rFonts w:ascii="宋体" w:hAnsi="宋体" w:cs="宋体"/>
          <w:b/>
          <w:bCs/>
          <w:kern w:val="0"/>
          <w:sz w:val="24"/>
        </w:rPr>
      </w:pPr>
      <w:r>
        <w:rPr>
          <w:rFonts w:hint="eastAsia" w:ascii="宋体" w:hAnsi="宋体" w:cs="宋体"/>
          <w:b/>
          <w:bCs/>
          <w:kern w:val="0"/>
          <w:sz w:val="24"/>
        </w:rPr>
        <w:t>附表三：</w:t>
      </w:r>
    </w:p>
    <w:p>
      <w:pPr>
        <w:autoSpaceDE w:val="0"/>
        <w:autoSpaceDN w:val="0"/>
        <w:adjustRightInd w:val="0"/>
        <w:spacing w:before="100" w:after="100"/>
        <w:rPr>
          <w:rFonts w:ascii="宋体"/>
          <w:sz w:val="24"/>
        </w:rPr>
      </w:pPr>
      <w:r>
        <w:rPr>
          <w:rFonts w:hAnsi="宋体"/>
          <w:sz w:val="24"/>
        </w:rPr>
        <w:drawing>
          <wp:inline distT="0" distB="0" distL="0" distR="0">
            <wp:extent cx="5430520" cy="8061960"/>
            <wp:effectExtent l="0" t="0" r="0" b="0"/>
            <wp:docPr id="1" name="图片 40"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0" descr="临时用电申请表"/>
                    <pic:cNvPicPr>
                      <a:picLocks noChangeAspect="1" noChangeArrowheads="1"/>
                    </pic:cNvPicPr>
                  </pic:nvPicPr>
                  <pic:blipFill>
                    <a:blip r:embed="rId4" cstate="print">
                      <a:extLst>
                        <a:ext uri="{28A0092B-C50C-407E-A947-70E740481C1C}">
                          <a14:useLocalDpi xmlns:a14="http://schemas.microsoft.com/office/drawing/2010/main" val="0"/>
                        </a:ext>
                      </a:extLst>
                    </a:blip>
                    <a:srcRect l="4916" t="2782" r="4292" b="1854"/>
                    <a:stretch>
                      <a:fillRect/>
                    </a:stretch>
                  </pic:blipFill>
                  <pic:spPr>
                    <a:xfrm>
                      <a:off x="0" y="0"/>
                      <a:ext cx="5430520" cy="8061960"/>
                    </a:xfrm>
                    <a:prstGeom prst="rect">
                      <a:avLst/>
                    </a:prstGeom>
                    <a:noFill/>
                    <a:ln>
                      <a:noFill/>
                    </a:ln>
                  </pic:spPr>
                </pic:pic>
              </a:graphicData>
            </a:graphic>
          </wp:inline>
        </w:drawing>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8458F"/>
    <w:multiLevelType w:val="multilevel"/>
    <w:tmpl w:val="0328458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894738"/>
    <w:rsid w:val="000040AD"/>
    <w:rsid w:val="000040F1"/>
    <w:rsid w:val="00007BCC"/>
    <w:rsid w:val="00020DE3"/>
    <w:rsid w:val="0002590F"/>
    <w:rsid w:val="0003300E"/>
    <w:rsid w:val="00037035"/>
    <w:rsid w:val="00037FED"/>
    <w:rsid w:val="00047B26"/>
    <w:rsid w:val="00050290"/>
    <w:rsid w:val="00050D3B"/>
    <w:rsid w:val="000526A9"/>
    <w:rsid w:val="0006335E"/>
    <w:rsid w:val="000723A6"/>
    <w:rsid w:val="00074477"/>
    <w:rsid w:val="00085C81"/>
    <w:rsid w:val="000878EF"/>
    <w:rsid w:val="000955B0"/>
    <w:rsid w:val="000A736F"/>
    <w:rsid w:val="000B59A2"/>
    <w:rsid w:val="000B616D"/>
    <w:rsid w:val="000B74B1"/>
    <w:rsid w:val="000C1137"/>
    <w:rsid w:val="000C2F92"/>
    <w:rsid w:val="000C7A55"/>
    <w:rsid w:val="000E1ADE"/>
    <w:rsid w:val="00113959"/>
    <w:rsid w:val="001305D9"/>
    <w:rsid w:val="00130B5D"/>
    <w:rsid w:val="00142ACD"/>
    <w:rsid w:val="00151CA8"/>
    <w:rsid w:val="00151F7F"/>
    <w:rsid w:val="00152F18"/>
    <w:rsid w:val="00155F1E"/>
    <w:rsid w:val="001608C2"/>
    <w:rsid w:val="00161315"/>
    <w:rsid w:val="0016221A"/>
    <w:rsid w:val="0018674D"/>
    <w:rsid w:val="001A6BE6"/>
    <w:rsid w:val="001D3B88"/>
    <w:rsid w:val="001D60E2"/>
    <w:rsid w:val="001E0D0B"/>
    <w:rsid w:val="001E2156"/>
    <w:rsid w:val="001E3CF3"/>
    <w:rsid w:val="001E43A7"/>
    <w:rsid w:val="001F3A69"/>
    <w:rsid w:val="001F4827"/>
    <w:rsid w:val="00206AA0"/>
    <w:rsid w:val="00214683"/>
    <w:rsid w:val="00221B64"/>
    <w:rsid w:val="00231061"/>
    <w:rsid w:val="00236BF0"/>
    <w:rsid w:val="002526FC"/>
    <w:rsid w:val="00255E2E"/>
    <w:rsid w:val="002601A6"/>
    <w:rsid w:val="00263C09"/>
    <w:rsid w:val="00264648"/>
    <w:rsid w:val="00284051"/>
    <w:rsid w:val="00287B1E"/>
    <w:rsid w:val="002908C2"/>
    <w:rsid w:val="002A4694"/>
    <w:rsid w:val="002B0725"/>
    <w:rsid w:val="002C07FC"/>
    <w:rsid w:val="002D127F"/>
    <w:rsid w:val="002D5CA8"/>
    <w:rsid w:val="002E3B07"/>
    <w:rsid w:val="002E5176"/>
    <w:rsid w:val="002F1B23"/>
    <w:rsid w:val="002F2767"/>
    <w:rsid w:val="003015A6"/>
    <w:rsid w:val="00305FFE"/>
    <w:rsid w:val="00313201"/>
    <w:rsid w:val="00323127"/>
    <w:rsid w:val="0033312E"/>
    <w:rsid w:val="00335716"/>
    <w:rsid w:val="00342314"/>
    <w:rsid w:val="00347A8B"/>
    <w:rsid w:val="0035055E"/>
    <w:rsid w:val="00350E52"/>
    <w:rsid w:val="0036013F"/>
    <w:rsid w:val="003632A6"/>
    <w:rsid w:val="003718A6"/>
    <w:rsid w:val="0037505B"/>
    <w:rsid w:val="00381F3F"/>
    <w:rsid w:val="0038428F"/>
    <w:rsid w:val="00390B7F"/>
    <w:rsid w:val="00392A46"/>
    <w:rsid w:val="00393865"/>
    <w:rsid w:val="00397BEA"/>
    <w:rsid w:val="003B46D7"/>
    <w:rsid w:val="003B7124"/>
    <w:rsid w:val="003C59DC"/>
    <w:rsid w:val="003D3020"/>
    <w:rsid w:val="003D39F7"/>
    <w:rsid w:val="003D7597"/>
    <w:rsid w:val="003E185C"/>
    <w:rsid w:val="003E64C3"/>
    <w:rsid w:val="003F0B52"/>
    <w:rsid w:val="003F574E"/>
    <w:rsid w:val="003F653D"/>
    <w:rsid w:val="004029A1"/>
    <w:rsid w:val="004229EA"/>
    <w:rsid w:val="004300C5"/>
    <w:rsid w:val="00436E79"/>
    <w:rsid w:val="00442EC4"/>
    <w:rsid w:val="004458FE"/>
    <w:rsid w:val="0044774E"/>
    <w:rsid w:val="004674F9"/>
    <w:rsid w:val="00485A8D"/>
    <w:rsid w:val="004909BF"/>
    <w:rsid w:val="00496259"/>
    <w:rsid w:val="00496A12"/>
    <w:rsid w:val="004A21C7"/>
    <w:rsid w:val="004A6B60"/>
    <w:rsid w:val="004B1C62"/>
    <w:rsid w:val="004B6665"/>
    <w:rsid w:val="004B6D10"/>
    <w:rsid w:val="004C7555"/>
    <w:rsid w:val="004E2971"/>
    <w:rsid w:val="004F024F"/>
    <w:rsid w:val="004F1267"/>
    <w:rsid w:val="004F3BA4"/>
    <w:rsid w:val="004F5B3E"/>
    <w:rsid w:val="004F5E4E"/>
    <w:rsid w:val="00503321"/>
    <w:rsid w:val="0050520F"/>
    <w:rsid w:val="005052C2"/>
    <w:rsid w:val="00523D39"/>
    <w:rsid w:val="00523F37"/>
    <w:rsid w:val="00526A98"/>
    <w:rsid w:val="005368FB"/>
    <w:rsid w:val="00537B53"/>
    <w:rsid w:val="0054004F"/>
    <w:rsid w:val="0054250B"/>
    <w:rsid w:val="005465CF"/>
    <w:rsid w:val="00550B60"/>
    <w:rsid w:val="00554E93"/>
    <w:rsid w:val="00555848"/>
    <w:rsid w:val="0055683E"/>
    <w:rsid w:val="005573B7"/>
    <w:rsid w:val="00565A3F"/>
    <w:rsid w:val="00565D39"/>
    <w:rsid w:val="00567A2C"/>
    <w:rsid w:val="00576B98"/>
    <w:rsid w:val="00583B9E"/>
    <w:rsid w:val="005A2C1E"/>
    <w:rsid w:val="005A3B2F"/>
    <w:rsid w:val="005B4011"/>
    <w:rsid w:val="005C70AC"/>
    <w:rsid w:val="005D117F"/>
    <w:rsid w:val="005E2124"/>
    <w:rsid w:val="005E2FC9"/>
    <w:rsid w:val="005E3681"/>
    <w:rsid w:val="005E45A5"/>
    <w:rsid w:val="005E4C73"/>
    <w:rsid w:val="00602D03"/>
    <w:rsid w:val="006223B3"/>
    <w:rsid w:val="00626617"/>
    <w:rsid w:val="00644D16"/>
    <w:rsid w:val="00653B5E"/>
    <w:rsid w:val="00663265"/>
    <w:rsid w:val="00671965"/>
    <w:rsid w:val="00671D30"/>
    <w:rsid w:val="00672819"/>
    <w:rsid w:val="0068032B"/>
    <w:rsid w:val="0068521E"/>
    <w:rsid w:val="006A4C2B"/>
    <w:rsid w:val="006A4DE5"/>
    <w:rsid w:val="006A5001"/>
    <w:rsid w:val="006A696D"/>
    <w:rsid w:val="006B1F97"/>
    <w:rsid w:val="006B4DCA"/>
    <w:rsid w:val="006B5AC9"/>
    <w:rsid w:val="006C0B5C"/>
    <w:rsid w:val="006C21AC"/>
    <w:rsid w:val="006D1079"/>
    <w:rsid w:val="006D1CDE"/>
    <w:rsid w:val="006D479D"/>
    <w:rsid w:val="006D5608"/>
    <w:rsid w:val="006E1A74"/>
    <w:rsid w:val="0070163E"/>
    <w:rsid w:val="00737077"/>
    <w:rsid w:val="00737CB1"/>
    <w:rsid w:val="00743213"/>
    <w:rsid w:val="00750761"/>
    <w:rsid w:val="00762CEA"/>
    <w:rsid w:val="00766E95"/>
    <w:rsid w:val="00770A58"/>
    <w:rsid w:val="007753EF"/>
    <w:rsid w:val="00780874"/>
    <w:rsid w:val="00786DEF"/>
    <w:rsid w:val="007877C5"/>
    <w:rsid w:val="00791507"/>
    <w:rsid w:val="007934B8"/>
    <w:rsid w:val="007952CF"/>
    <w:rsid w:val="00795AFF"/>
    <w:rsid w:val="00796A06"/>
    <w:rsid w:val="00797F36"/>
    <w:rsid w:val="007A12FD"/>
    <w:rsid w:val="007A2AF7"/>
    <w:rsid w:val="007A505A"/>
    <w:rsid w:val="007A5CB2"/>
    <w:rsid w:val="007A601B"/>
    <w:rsid w:val="007B3E7F"/>
    <w:rsid w:val="007C41B6"/>
    <w:rsid w:val="007C4736"/>
    <w:rsid w:val="007C5543"/>
    <w:rsid w:val="007D79AA"/>
    <w:rsid w:val="007E1BC3"/>
    <w:rsid w:val="007E3B70"/>
    <w:rsid w:val="007E5F14"/>
    <w:rsid w:val="007F5638"/>
    <w:rsid w:val="00830E37"/>
    <w:rsid w:val="00832271"/>
    <w:rsid w:val="00836A4A"/>
    <w:rsid w:val="008808A1"/>
    <w:rsid w:val="00880BFD"/>
    <w:rsid w:val="00883C03"/>
    <w:rsid w:val="00884E92"/>
    <w:rsid w:val="00894738"/>
    <w:rsid w:val="008A2BAC"/>
    <w:rsid w:val="008C231B"/>
    <w:rsid w:val="008C5E23"/>
    <w:rsid w:val="008C5E39"/>
    <w:rsid w:val="008D07B5"/>
    <w:rsid w:val="008D6193"/>
    <w:rsid w:val="008D7171"/>
    <w:rsid w:val="008E30C3"/>
    <w:rsid w:val="008E61E0"/>
    <w:rsid w:val="008F444D"/>
    <w:rsid w:val="00913944"/>
    <w:rsid w:val="00917CB7"/>
    <w:rsid w:val="00930469"/>
    <w:rsid w:val="00933CD6"/>
    <w:rsid w:val="00941101"/>
    <w:rsid w:val="0094519B"/>
    <w:rsid w:val="00946013"/>
    <w:rsid w:val="00947EBF"/>
    <w:rsid w:val="009503D9"/>
    <w:rsid w:val="00957BB4"/>
    <w:rsid w:val="009720F3"/>
    <w:rsid w:val="00972526"/>
    <w:rsid w:val="0097319D"/>
    <w:rsid w:val="00976435"/>
    <w:rsid w:val="009776ED"/>
    <w:rsid w:val="00985BF1"/>
    <w:rsid w:val="009877D3"/>
    <w:rsid w:val="009A2276"/>
    <w:rsid w:val="009B1E50"/>
    <w:rsid w:val="009C2C2E"/>
    <w:rsid w:val="009C5503"/>
    <w:rsid w:val="009D3E00"/>
    <w:rsid w:val="009D482B"/>
    <w:rsid w:val="009D5550"/>
    <w:rsid w:val="009E74A0"/>
    <w:rsid w:val="009F0AB8"/>
    <w:rsid w:val="00A00499"/>
    <w:rsid w:val="00A0174E"/>
    <w:rsid w:val="00A14027"/>
    <w:rsid w:val="00A244CE"/>
    <w:rsid w:val="00A30B33"/>
    <w:rsid w:val="00A41D39"/>
    <w:rsid w:val="00A457EE"/>
    <w:rsid w:val="00A47791"/>
    <w:rsid w:val="00A5424A"/>
    <w:rsid w:val="00A72944"/>
    <w:rsid w:val="00A87B3C"/>
    <w:rsid w:val="00A90DE0"/>
    <w:rsid w:val="00A93522"/>
    <w:rsid w:val="00AA265E"/>
    <w:rsid w:val="00AB09D4"/>
    <w:rsid w:val="00AC391E"/>
    <w:rsid w:val="00AD3FD2"/>
    <w:rsid w:val="00AD5A02"/>
    <w:rsid w:val="00AD5DB6"/>
    <w:rsid w:val="00AD6168"/>
    <w:rsid w:val="00B00AF2"/>
    <w:rsid w:val="00B04B1E"/>
    <w:rsid w:val="00B05A96"/>
    <w:rsid w:val="00B27226"/>
    <w:rsid w:val="00B30064"/>
    <w:rsid w:val="00B45D4C"/>
    <w:rsid w:val="00B54885"/>
    <w:rsid w:val="00B5551F"/>
    <w:rsid w:val="00B70CCA"/>
    <w:rsid w:val="00B87FD3"/>
    <w:rsid w:val="00B91634"/>
    <w:rsid w:val="00B91BF8"/>
    <w:rsid w:val="00B9498E"/>
    <w:rsid w:val="00BA06F0"/>
    <w:rsid w:val="00BA168F"/>
    <w:rsid w:val="00BB76C1"/>
    <w:rsid w:val="00BC01E8"/>
    <w:rsid w:val="00BC11E3"/>
    <w:rsid w:val="00BC5756"/>
    <w:rsid w:val="00BE29C7"/>
    <w:rsid w:val="00C032BD"/>
    <w:rsid w:val="00C1717E"/>
    <w:rsid w:val="00C20789"/>
    <w:rsid w:val="00C27944"/>
    <w:rsid w:val="00C304CD"/>
    <w:rsid w:val="00C30CE9"/>
    <w:rsid w:val="00C47194"/>
    <w:rsid w:val="00C473CA"/>
    <w:rsid w:val="00C51C8A"/>
    <w:rsid w:val="00C55DEF"/>
    <w:rsid w:val="00C56C6E"/>
    <w:rsid w:val="00C6124B"/>
    <w:rsid w:val="00C660B9"/>
    <w:rsid w:val="00C82475"/>
    <w:rsid w:val="00C84D8C"/>
    <w:rsid w:val="00C91959"/>
    <w:rsid w:val="00C94F81"/>
    <w:rsid w:val="00C95B0D"/>
    <w:rsid w:val="00C97A4B"/>
    <w:rsid w:val="00CA683C"/>
    <w:rsid w:val="00CC16A7"/>
    <w:rsid w:val="00CC35DF"/>
    <w:rsid w:val="00CC44F9"/>
    <w:rsid w:val="00CC759C"/>
    <w:rsid w:val="00CD1DBF"/>
    <w:rsid w:val="00CD35F0"/>
    <w:rsid w:val="00CE618B"/>
    <w:rsid w:val="00D147D8"/>
    <w:rsid w:val="00D273D6"/>
    <w:rsid w:val="00D44FA5"/>
    <w:rsid w:val="00D52285"/>
    <w:rsid w:val="00D55FF7"/>
    <w:rsid w:val="00D73A81"/>
    <w:rsid w:val="00D75AB1"/>
    <w:rsid w:val="00D82C2C"/>
    <w:rsid w:val="00D9212B"/>
    <w:rsid w:val="00DA1CA4"/>
    <w:rsid w:val="00DA4C2C"/>
    <w:rsid w:val="00DA54ED"/>
    <w:rsid w:val="00DB139E"/>
    <w:rsid w:val="00DC2E08"/>
    <w:rsid w:val="00DC720C"/>
    <w:rsid w:val="00DD7028"/>
    <w:rsid w:val="00DE136F"/>
    <w:rsid w:val="00DE7DA9"/>
    <w:rsid w:val="00DF072A"/>
    <w:rsid w:val="00DF6400"/>
    <w:rsid w:val="00DF67D9"/>
    <w:rsid w:val="00E070C6"/>
    <w:rsid w:val="00E12DBB"/>
    <w:rsid w:val="00E131E6"/>
    <w:rsid w:val="00E16096"/>
    <w:rsid w:val="00E2415E"/>
    <w:rsid w:val="00E26D66"/>
    <w:rsid w:val="00E5645D"/>
    <w:rsid w:val="00E602F2"/>
    <w:rsid w:val="00E75F56"/>
    <w:rsid w:val="00E8316A"/>
    <w:rsid w:val="00E87CFD"/>
    <w:rsid w:val="00EA7BCF"/>
    <w:rsid w:val="00EB4AB0"/>
    <w:rsid w:val="00EB4B63"/>
    <w:rsid w:val="00EB7C57"/>
    <w:rsid w:val="00EC0076"/>
    <w:rsid w:val="00EC5F98"/>
    <w:rsid w:val="00EC7D42"/>
    <w:rsid w:val="00ED22CD"/>
    <w:rsid w:val="00ED395A"/>
    <w:rsid w:val="00ED3DBB"/>
    <w:rsid w:val="00EE0792"/>
    <w:rsid w:val="00EF25F5"/>
    <w:rsid w:val="00EF3A82"/>
    <w:rsid w:val="00EF404A"/>
    <w:rsid w:val="00F0223F"/>
    <w:rsid w:val="00F1050F"/>
    <w:rsid w:val="00F208FE"/>
    <w:rsid w:val="00F30E58"/>
    <w:rsid w:val="00F32F59"/>
    <w:rsid w:val="00F40835"/>
    <w:rsid w:val="00F44F53"/>
    <w:rsid w:val="00F469DA"/>
    <w:rsid w:val="00F62CD3"/>
    <w:rsid w:val="00F73472"/>
    <w:rsid w:val="00F73B92"/>
    <w:rsid w:val="00F76B31"/>
    <w:rsid w:val="00F76CEA"/>
    <w:rsid w:val="00F81C28"/>
    <w:rsid w:val="00F81E45"/>
    <w:rsid w:val="00FB0736"/>
    <w:rsid w:val="00FC0A42"/>
    <w:rsid w:val="00FC119C"/>
    <w:rsid w:val="00FC3CA2"/>
    <w:rsid w:val="00FC4C8A"/>
    <w:rsid w:val="00FC79D6"/>
    <w:rsid w:val="00FD00D1"/>
    <w:rsid w:val="00FE2381"/>
    <w:rsid w:val="00FF02F5"/>
    <w:rsid w:val="4BFE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autoRedefine/>
    <w:qFormat/>
    <w:uiPriority w:val="0"/>
    <w:pPr>
      <w:adjustRightInd w:val="0"/>
      <w:spacing w:line="500" w:lineRule="exact"/>
      <w:textAlignment w:val="baseline"/>
    </w:pPr>
    <w:rPr>
      <w:rFonts w:ascii="仿宋_GB2312" w:eastAsia="仿宋_GB2312"/>
      <w:sz w:val="28"/>
      <w:szCs w:val="20"/>
    </w:r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link w:val="4"/>
    <w:autoRedefine/>
    <w:qFormat/>
    <w:uiPriority w:val="0"/>
    <w:rPr>
      <w:kern w:val="2"/>
      <w:sz w:val="18"/>
      <w:szCs w:val="18"/>
    </w:rPr>
  </w:style>
  <w:style w:type="character" w:customStyle="1" w:styleId="10">
    <w:name w:val="页脚 字符"/>
    <w:link w:val="3"/>
    <w:uiPriority w:val="0"/>
    <w:rPr>
      <w:kern w:val="2"/>
      <w:sz w:val="18"/>
      <w:szCs w:val="18"/>
    </w:rPr>
  </w:style>
  <w:style w:type="character" w:customStyle="1" w:styleId="11">
    <w:name w:val="批注框文本 字符"/>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kcfc</Company>
  <Pages>8</Pages>
  <Words>906</Words>
  <Characters>5168</Characters>
  <Lines>43</Lines>
  <Paragraphs>12</Paragraphs>
  <TotalTime>32</TotalTime>
  <ScaleCrop>false</ScaleCrop>
  <LinksUpToDate>false</LinksUpToDate>
  <CharactersWithSpaces>6062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2025-10-20T01:41:00Z</dcterms:created>
  <dc:creator>gj</dc:creator>
  <cp:lastModifiedBy>﹌ 帥尛熊". </cp:lastModifiedBy>
  <cp:lastPrinted>2024-01-05T01:33:00Z</cp:lastPrinted>
  <dcterms:modified xsi:type="dcterms:W3CDTF">2025-11-27T03:26:48Z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6CC70A1497224F6980F8503E4C61DB9B_12</vt:lpwstr>
  </property>
</Properties>
</file>