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4B6" w:rsidRPr="009B440E" w:rsidRDefault="00C37A91" w:rsidP="009B440E">
      <w:pPr>
        <w:ind w:firstLineChars="300" w:firstLine="84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025</w:t>
      </w:r>
      <w:r>
        <w:rPr>
          <w:rFonts w:ascii="黑体" w:eastAsia="黑体" w:hAnsi="黑体" w:hint="eastAsia"/>
          <w:sz w:val="28"/>
          <w:szCs w:val="28"/>
        </w:rPr>
        <w:t>年</w:t>
      </w:r>
      <w:r w:rsidR="00DF32F7" w:rsidRPr="009B440E">
        <w:rPr>
          <w:rFonts w:ascii="黑体" w:eastAsia="黑体" w:hAnsi="黑体" w:hint="eastAsia"/>
          <w:sz w:val="28"/>
          <w:szCs w:val="28"/>
        </w:rPr>
        <w:t>起重机械</w:t>
      </w:r>
      <w:proofErr w:type="gramStart"/>
      <w:r w:rsidR="005C76D6" w:rsidRPr="009B440E">
        <w:rPr>
          <w:rFonts w:ascii="黑体" w:eastAsia="黑体" w:hAnsi="黑体" w:hint="eastAsia"/>
          <w:sz w:val="28"/>
          <w:szCs w:val="28"/>
        </w:rPr>
        <w:t>现场</w:t>
      </w:r>
      <w:r w:rsidR="00DF32F7" w:rsidRPr="009B440E">
        <w:rPr>
          <w:rFonts w:ascii="黑体" w:eastAsia="黑体" w:hAnsi="黑体" w:hint="eastAsia"/>
          <w:sz w:val="28"/>
          <w:szCs w:val="28"/>
        </w:rPr>
        <w:t>维保</w:t>
      </w:r>
      <w:r w:rsidR="005C76D6" w:rsidRPr="009B440E">
        <w:rPr>
          <w:rFonts w:ascii="黑体" w:eastAsia="黑体" w:hAnsi="黑体" w:hint="eastAsia"/>
          <w:sz w:val="28"/>
          <w:szCs w:val="28"/>
        </w:rPr>
        <w:t>服务</w:t>
      </w:r>
      <w:proofErr w:type="gramEnd"/>
      <w:r w:rsidR="004C526A" w:rsidRPr="009B440E">
        <w:rPr>
          <w:rFonts w:ascii="黑体" w:eastAsia="黑体" w:hAnsi="黑体" w:hint="eastAsia"/>
          <w:sz w:val="28"/>
          <w:szCs w:val="28"/>
        </w:rPr>
        <w:t>技术</w:t>
      </w:r>
      <w:r w:rsidR="00023386">
        <w:rPr>
          <w:rFonts w:ascii="黑体" w:eastAsia="黑体" w:hAnsi="黑体" w:hint="eastAsia"/>
          <w:sz w:val="28"/>
          <w:szCs w:val="28"/>
        </w:rPr>
        <w:t>协议</w:t>
      </w:r>
    </w:p>
    <w:p w:rsidR="005F6C67" w:rsidRPr="009B440E" w:rsidRDefault="00DF32F7" w:rsidP="005F6C67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proofErr w:type="gramStart"/>
      <w:r w:rsidRPr="009B440E">
        <w:rPr>
          <w:rFonts w:ascii="黑体" w:eastAsia="黑体" w:hAnsi="黑体" w:hint="eastAsia"/>
          <w:spacing w:val="16"/>
          <w:sz w:val="28"/>
          <w:szCs w:val="28"/>
        </w:rPr>
        <w:t>维保</w:t>
      </w:r>
      <w:r w:rsidR="005F6C67" w:rsidRPr="009B440E">
        <w:rPr>
          <w:rFonts w:ascii="黑体" w:eastAsia="黑体" w:hAnsi="黑体" w:hint="eastAsia"/>
          <w:spacing w:val="16"/>
          <w:sz w:val="28"/>
          <w:szCs w:val="28"/>
        </w:rPr>
        <w:t>内容</w:t>
      </w:r>
      <w:proofErr w:type="gramEnd"/>
      <w:r w:rsidR="005F6C67" w:rsidRPr="009B440E">
        <w:rPr>
          <w:rFonts w:ascii="黑体" w:eastAsia="黑体" w:hAnsi="黑体" w:hint="eastAsia"/>
          <w:spacing w:val="16"/>
          <w:sz w:val="28"/>
          <w:szCs w:val="28"/>
        </w:rPr>
        <w:t>概况</w:t>
      </w:r>
    </w:p>
    <w:p w:rsidR="005F6C67" w:rsidRPr="00A82E85" w:rsidRDefault="00257031" w:rsidP="001A005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依据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《中华人民共和国特种设备安全法》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的要求，起重机械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需要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现场维保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，其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内容为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：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分别对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昆纤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1</w:t>
      </w:r>
      <w:r w:rsidR="00727887" w:rsidRPr="00A82E85">
        <w:rPr>
          <w:rFonts w:ascii="宋体" w:eastAsia="宋体" w:hAnsi="宋体"/>
          <w:spacing w:val="16"/>
          <w:sz w:val="24"/>
          <w:szCs w:val="24"/>
        </w:rPr>
        <w:t>0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台</w:t>
      </w:r>
      <w:r w:rsidR="00E30A5C" w:rsidRPr="00A82E85">
        <w:rPr>
          <w:rFonts w:ascii="宋体" w:eastAsia="宋体" w:hAnsi="宋体" w:hint="eastAsia"/>
          <w:spacing w:val="16"/>
          <w:sz w:val="24"/>
          <w:szCs w:val="24"/>
        </w:rPr>
        <w:t>注册</w:t>
      </w:r>
      <w:r w:rsidR="00727438" w:rsidRPr="00A82E85">
        <w:rPr>
          <w:rFonts w:ascii="宋体" w:eastAsia="宋体" w:hAnsi="宋体" w:hint="eastAsia"/>
          <w:spacing w:val="16"/>
          <w:sz w:val="24"/>
          <w:szCs w:val="24"/>
        </w:rPr>
        <w:t>在用起重机械及其它3吨以下的小型电动葫芦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安全保护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装置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和主体设备进行</w:t>
      </w:r>
      <w:r w:rsidR="00605DBF" w:rsidRPr="00A82E85">
        <w:rPr>
          <w:rFonts w:ascii="宋体" w:eastAsia="宋体" w:hAnsi="宋体" w:hint="eastAsia"/>
          <w:spacing w:val="16"/>
          <w:sz w:val="24"/>
          <w:szCs w:val="24"/>
        </w:rPr>
        <w:t>两次</w:t>
      </w:r>
      <w:r w:rsidR="006D4521" w:rsidRPr="00A82E85">
        <w:rPr>
          <w:rFonts w:ascii="宋体" w:eastAsia="宋体" w:hAnsi="宋体" w:hint="eastAsia"/>
          <w:spacing w:val="16"/>
          <w:sz w:val="24"/>
          <w:szCs w:val="24"/>
        </w:rPr>
        <w:t>年度内</w:t>
      </w:r>
      <w:r w:rsidR="00605DBF" w:rsidRPr="00A82E85">
        <w:rPr>
          <w:rFonts w:ascii="宋体" w:eastAsia="宋体" w:hAnsi="宋体" w:hint="eastAsia"/>
          <w:spacing w:val="16"/>
          <w:sz w:val="24"/>
          <w:szCs w:val="24"/>
        </w:rPr>
        <w:t>专业</w:t>
      </w:r>
      <w:r w:rsidR="003236B9" w:rsidRPr="00A82E85">
        <w:rPr>
          <w:rFonts w:ascii="宋体" w:eastAsia="宋体" w:hAnsi="宋体" w:hint="eastAsia"/>
          <w:spacing w:val="16"/>
          <w:sz w:val="24"/>
          <w:szCs w:val="24"/>
        </w:rPr>
        <w:t>维护保养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，</w:t>
      </w:r>
      <w:r w:rsidR="00125DD2" w:rsidRPr="00A82E85">
        <w:rPr>
          <w:rFonts w:ascii="宋体" w:eastAsia="宋体" w:hAnsi="宋体" w:hint="eastAsia"/>
          <w:color w:val="FF0000"/>
          <w:spacing w:val="16"/>
          <w:sz w:val="24"/>
          <w:szCs w:val="24"/>
        </w:rPr>
        <w:t>提供</w:t>
      </w:r>
      <w:r w:rsidR="00916269" w:rsidRPr="00A82E85">
        <w:rPr>
          <w:rFonts w:ascii="宋体" w:eastAsia="宋体" w:hAnsi="宋体" w:hint="eastAsia"/>
          <w:color w:val="FF0000"/>
          <w:spacing w:val="16"/>
          <w:sz w:val="24"/>
          <w:szCs w:val="24"/>
        </w:rPr>
        <w:t>每台</w:t>
      </w:r>
      <w:r w:rsidR="00003FA9" w:rsidRPr="00A82E85">
        <w:rPr>
          <w:rFonts w:ascii="宋体" w:eastAsia="宋体" w:hAnsi="宋体" w:hint="eastAsia"/>
          <w:color w:val="FF0000"/>
          <w:spacing w:val="16"/>
          <w:sz w:val="24"/>
          <w:szCs w:val="24"/>
        </w:rPr>
        <w:t>注册在用行车</w:t>
      </w:r>
      <w:r w:rsidR="00125DD2" w:rsidRPr="00A82E85">
        <w:rPr>
          <w:rFonts w:ascii="宋体" w:eastAsia="宋体" w:hAnsi="宋体" w:hint="eastAsia"/>
          <w:color w:val="FF0000"/>
          <w:spacing w:val="16"/>
          <w:sz w:val="24"/>
          <w:szCs w:val="24"/>
        </w:rPr>
        <w:t>年度自检报告</w:t>
      </w:r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5F6C67" w:rsidRPr="001A0055" w:rsidRDefault="005F6C67" w:rsidP="001A0055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1A0055">
        <w:rPr>
          <w:rFonts w:ascii="黑体" w:eastAsia="黑体" w:hAnsi="黑体" w:hint="eastAsia"/>
          <w:spacing w:val="16"/>
          <w:sz w:val="28"/>
          <w:szCs w:val="28"/>
        </w:rPr>
        <w:t>技术标准和规范</w:t>
      </w:r>
    </w:p>
    <w:p w:rsidR="005F6C67" w:rsidRPr="00A82E85" w:rsidRDefault="00FC6382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proofErr w:type="gramStart"/>
      <w:r w:rsidRPr="00A82E85">
        <w:rPr>
          <w:rFonts w:ascii="宋体" w:eastAsia="宋体" w:hAnsi="宋体"/>
          <w:spacing w:val="16"/>
          <w:sz w:val="24"/>
          <w:szCs w:val="24"/>
        </w:rPr>
        <w:t>维保</w:t>
      </w:r>
      <w:r w:rsidR="005F6C67" w:rsidRPr="00A82E85">
        <w:rPr>
          <w:rFonts w:ascii="宋体" w:eastAsia="宋体" w:hAnsi="宋体"/>
          <w:spacing w:val="16"/>
          <w:sz w:val="24"/>
          <w:szCs w:val="24"/>
        </w:rPr>
        <w:t>按照</w:t>
      </w:r>
      <w:proofErr w:type="gramEnd"/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《</w:t>
      </w:r>
      <w:r w:rsidR="0002777F" w:rsidRPr="00A82E85">
        <w:rPr>
          <w:rFonts w:ascii="宋体" w:eastAsia="宋体" w:hAnsi="宋体" w:hint="eastAsia"/>
          <w:spacing w:val="16"/>
          <w:sz w:val="24"/>
          <w:szCs w:val="24"/>
        </w:rPr>
        <w:t>起重机械安全技术监察规范 桥式起重机TSG Q0002-2008</w:t>
      </w:r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》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、《起重机械定期检验规则TSG Q7015-2016》</w:t>
      </w:r>
      <w:r w:rsidRPr="00A82E85">
        <w:rPr>
          <w:rFonts w:ascii="宋体" w:eastAsia="宋体" w:hAnsi="宋体"/>
          <w:spacing w:val="16"/>
          <w:sz w:val="24"/>
          <w:szCs w:val="24"/>
        </w:rPr>
        <w:t>进行，有</w:t>
      </w:r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其</w:t>
      </w:r>
      <w:r w:rsidR="00605DBF" w:rsidRPr="00A82E85">
        <w:rPr>
          <w:rFonts w:ascii="宋体" w:eastAsia="宋体" w:hAnsi="宋体" w:hint="eastAsia"/>
          <w:spacing w:val="16"/>
          <w:sz w:val="24"/>
          <w:szCs w:val="24"/>
        </w:rPr>
        <w:t>它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国家要求</w:t>
      </w:r>
      <w:proofErr w:type="gramStart"/>
      <w:r w:rsidRPr="00A82E85">
        <w:rPr>
          <w:rFonts w:ascii="宋体" w:eastAsia="宋体" w:hAnsi="宋体" w:hint="eastAsia"/>
          <w:spacing w:val="16"/>
          <w:sz w:val="24"/>
          <w:szCs w:val="24"/>
        </w:rPr>
        <w:t>的维保</w:t>
      </w:r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项</w:t>
      </w:r>
      <w:proofErr w:type="gramEnd"/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目按照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相关</w:t>
      </w:r>
      <w:r w:rsidR="005F6C67" w:rsidRPr="00A82E85">
        <w:rPr>
          <w:rFonts w:ascii="宋体" w:eastAsia="宋体" w:hAnsi="宋体" w:hint="eastAsia"/>
          <w:spacing w:val="16"/>
          <w:sz w:val="24"/>
          <w:szCs w:val="24"/>
        </w:rPr>
        <w:t>要求完成。</w:t>
      </w:r>
    </w:p>
    <w:p w:rsidR="005F6C67" w:rsidRPr="001A0055" w:rsidRDefault="005F6C67" w:rsidP="001A0055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1A0055">
        <w:rPr>
          <w:rFonts w:ascii="黑体" w:eastAsia="黑体" w:hAnsi="黑体" w:hint="eastAsia"/>
          <w:spacing w:val="16"/>
          <w:sz w:val="28"/>
          <w:szCs w:val="28"/>
        </w:rPr>
        <w:t xml:space="preserve">技术要求 </w:t>
      </w:r>
    </w:p>
    <w:p w:rsidR="005F6C67" w:rsidRPr="00A82E85" w:rsidRDefault="005F6C67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1．检修内容及要达到的功能要求</w:t>
      </w:r>
    </w:p>
    <w:p w:rsidR="00724ABF" w:rsidRPr="00A82E85" w:rsidRDefault="00724AB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1.1</w:t>
      </w:r>
      <w:r w:rsidR="00CB6A61" w:rsidRPr="00A82E85">
        <w:rPr>
          <w:rFonts w:ascii="宋体" w:eastAsia="宋体" w:hAnsi="宋体" w:hint="eastAsia"/>
          <w:spacing w:val="16"/>
          <w:sz w:val="24"/>
          <w:szCs w:val="24"/>
        </w:rPr>
        <w:t>工作内容：</w:t>
      </w:r>
    </w:p>
    <w:p w:rsidR="000576F3" w:rsidRPr="00A82E85" w:rsidRDefault="00724AB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1</w:t>
      </w:r>
      <w:r w:rsidRPr="00A82E85">
        <w:rPr>
          <w:rFonts w:ascii="宋体" w:eastAsia="宋体" w:hAnsi="宋体"/>
          <w:spacing w:val="16"/>
          <w:sz w:val="24"/>
          <w:szCs w:val="24"/>
        </w:rPr>
        <w:t>.1.1</w:t>
      </w:r>
      <w:r w:rsidR="00B30AD6" w:rsidRPr="00A82E85">
        <w:rPr>
          <w:rFonts w:ascii="宋体" w:eastAsia="宋体" w:hAnsi="宋体" w:hint="eastAsia"/>
          <w:spacing w:val="16"/>
          <w:sz w:val="24"/>
          <w:szCs w:val="24"/>
        </w:rPr>
        <w:t>机械维护保养内容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700"/>
        <w:gridCol w:w="5724"/>
      </w:tblGrid>
      <w:tr w:rsidR="00B30AD6" w:rsidRPr="00B30AD6" w:rsidTr="00CD3B75">
        <w:trPr>
          <w:tblHeader/>
        </w:trPr>
        <w:tc>
          <w:tcPr>
            <w:tcW w:w="818" w:type="dxa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1700" w:type="dxa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b/>
                <w:szCs w:val="21"/>
              </w:rPr>
              <w:t>部件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b/>
                <w:szCs w:val="21"/>
              </w:rPr>
              <w:t>维保项目</w:t>
            </w:r>
            <w:proofErr w:type="gramEnd"/>
          </w:p>
        </w:tc>
      </w:tr>
      <w:tr w:rsidR="00B30AD6" w:rsidRPr="00B30AD6" w:rsidTr="00CD3B75">
        <w:trPr>
          <w:tblHeader/>
        </w:trPr>
        <w:tc>
          <w:tcPr>
            <w:tcW w:w="818" w:type="dxa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主梁和端梁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检查焊缝有无开裂、连接部分螺栓有无松动、裂纹及腐蚀等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小车轨道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检查连接</w:t>
            </w: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部分焊区有无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裂纹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检查轨道有无裂纹、变形、侧面磨损及头部下陷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吊钩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检查吊钩有无裂纹或冷变形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吊钩推力轴承的润滑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检查危险断面的磨损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钢丝绳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断丝、变形检查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钢丝绳有无锈蚀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检查钢绳端部加工部分有无损伤、松动及脱落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检查有无跳槽情况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检查有无粘附颗粒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检查钢丝绳松紧、长度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钢丝绳保养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滑轮组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检查裂纹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检查滑轮磨损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滑轮组滚动轴承的润滑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卷筒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检查卷筒绳槽磨损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卷筒滚动轴承的润滑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检查固定钢丝绳的压绳板有无松动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小车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车轮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检查车轮踏面磨损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检查轮缘磨损与折断、变形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检查车轮裂纹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车轮滚动轴承的润滑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大车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车轮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检查车轮踏面磨损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检查轮缘磨损与折断、变形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检查车轮裂纹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车轮滚动轴承的润滑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主起升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减速器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检查给油情况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检查减速器齿轮油油量及油污染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检查减速器箱体是否漏油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副起升</w:t>
            </w:r>
            <w:proofErr w:type="gramEnd"/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减速器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检查给油情况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检查减速器齿轮油油量及油污染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检查减速器箱体是否漏油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主起升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制动器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检查制动片磨损情况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检查制动盘磨损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检查制动力矩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检查制动片与制动轮间隙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检查制动弹簧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副起升</w:t>
            </w:r>
            <w:proofErr w:type="gramEnd"/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制动器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检查制动盘磨损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检查制动力矩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检查制动器与制动轮间隙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检查制动弹簧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lastRenderedPageBreak/>
              <w:t>13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大车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电磁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制动器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检查电磁铁动作情况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检查制动器与制动盘的间隙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检查制动盘的磨损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检查制动片的磨损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小车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电磁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制动器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检查电磁铁动作情况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检查制动器与制动盘的间隙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检查制动盘的磨损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检查制动片的磨损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电动机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检查主起升电机安装底座地脚螺栓有无松动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检查副起升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电机安装底座地脚螺栓有无松动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检查小车电机连接螺栓有无松动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检查大车电机连接螺栓有无松动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各项运行参数是否符合技术要求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油嘴和连接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销轴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检查所有注油</w:t>
            </w:r>
            <w:proofErr w:type="gramStart"/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嘴能否</w:t>
            </w:r>
            <w:proofErr w:type="gramEnd"/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正常注油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检查连接销轴止动片有无磨损和损坏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电动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葫芦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减速箱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检查给油情况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检查减速器齿轮油油量及油污染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检查减速器箱体是否漏油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电动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葫芦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车轮</w:t>
            </w: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检查车轮踏面磨损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检查轮缘磨损与折断、变形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检查车轮裂纹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24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车轮滚动轴承的润滑</w:t>
            </w:r>
          </w:p>
        </w:tc>
      </w:tr>
    </w:tbl>
    <w:p w:rsidR="00CD3B75" w:rsidRDefault="00CD3B75" w:rsidP="006D4521">
      <w:pPr>
        <w:rPr>
          <w:rFonts w:ascii="宋体" w:hAnsi="宋体"/>
          <w:spacing w:val="16"/>
          <w:sz w:val="28"/>
          <w:szCs w:val="28"/>
        </w:rPr>
      </w:pPr>
    </w:p>
    <w:p w:rsidR="00B30AD6" w:rsidRPr="00A82E85" w:rsidRDefault="00F2796E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1</w:t>
      </w:r>
      <w:r w:rsidRPr="00A82E85">
        <w:rPr>
          <w:rFonts w:ascii="宋体" w:eastAsia="宋体" w:hAnsi="宋体"/>
          <w:spacing w:val="16"/>
          <w:sz w:val="24"/>
          <w:szCs w:val="24"/>
        </w:rPr>
        <w:t>.1.2</w:t>
      </w:r>
      <w:r w:rsidR="00B30AD6" w:rsidRPr="00A82E85">
        <w:rPr>
          <w:rFonts w:ascii="宋体" w:eastAsia="宋体" w:hAnsi="宋体" w:hint="eastAsia"/>
          <w:spacing w:val="16"/>
          <w:sz w:val="24"/>
          <w:szCs w:val="24"/>
        </w:rPr>
        <w:t>电气维护保养内容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700"/>
        <w:gridCol w:w="5722"/>
      </w:tblGrid>
      <w:tr w:rsidR="00B30AD6" w:rsidRPr="00B30AD6" w:rsidTr="00CD3B75">
        <w:trPr>
          <w:tblHeader/>
        </w:trPr>
        <w:tc>
          <w:tcPr>
            <w:tcW w:w="818" w:type="dxa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1700" w:type="dxa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b/>
                <w:szCs w:val="21"/>
              </w:rPr>
              <w:t>部件</w:t>
            </w:r>
          </w:p>
        </w:tc>
        <w:tc>
          <w:tcPr>
            <w:tcW w:w="5722" w:type="dxa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b/>
                <w:szCs w:val="21"/>
              </w:rPr>
              <w:t>维保项目</w:t>
            </w:r>
            <w:proofErr w:type="gramEnd"/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电源控制柜</w:t>
            </w:r>
          </w:p>
        </w:tc>
        <w:tc>
          <w:tcPr>
            <w:tcW w:w="5722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所有元件除灰处理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端子排接线检查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保护开关、接触器、中间继电器动作检查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电器柜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所有元件除灰处理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端子排接线检查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保护开关、接触器动作检查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</w:t>
            </w: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起升柜</w:t>
            </w:r>
            <w:proofErr w:type="gram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所有元件除灰处理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端子排接线检查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保护开关、接触器、中间继电器动作检查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主起变频器的参数检查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运行柜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所有元件除灰处理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端子排接线检查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保护开关、接触器、中间继电器动作检查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小车变频器参数的检查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大车变频器参数的检查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起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升柜</w:t>
            </w:r>
            <w:proofErr w:type="gram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所有元件除灰处理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端子排接线检查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保护开关、接触器、中间继电器动作检查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副起电器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的参数检查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制动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电阻柜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电阻的除灰处理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制动电阻的阻值测量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转接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端子箱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固定侧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转接端子箱接线检查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移动侧转接端子箱接线检查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电源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开关箱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刀闸开关、灭弧罩的检查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集电器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安全滑</w:t>
            </w: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触线探刷的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磨损检查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</w:t>
            </w:r>
            <w:r w:rsidRPr="00B30AD6">
              <w:rPr>
                <w:rFonts w:ascii="宋体" w:eastAsia="宋体" w:hAnsi="宋体" w:cs="宋体"/>
                <w:szCs w:val="21"/>
              </w:rPr>
              <w:t>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操作手柄的检查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主起载荷仪表的检查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1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副起载荷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仪表的检查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照明及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kern w:val="0"/>
                <w:szCs w:val="21"/>
              </w:rPr>
              <w:t>警示灯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桥架照明灯具及警示灯的检查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限位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开关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主起高度限位器的检查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副起高度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限位器的检查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门限位开关的检查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小车行程限位开关的检查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大车行程限位开关的检查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接近</w:t>
            </w:r>
          </w:p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开关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小车接近开关的检查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大车接近开关的检查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称重传感器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主起称重传感器的检查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B30AD6">
              <w:rPr>
                <w:rFonts w:ascii="宋体" w:eastAsia="宋体" w:hAnsi="宋体" w:cs="宋体" w:hint="eastAsia"/>
                <w:szCs w:val="21"/>
              </w:rPr>
              <w:t>副起称重传感器</w:t>
            </w:r>
            <w:proofErr w:type="gramEnd"/>
            <w:r w:rsidRPr="00B30AD6">
              <w:rPr>
                <w:rFonts w:ascii="宋体" w:eastAsia="宋体" w:hAnsi="宋体" w:cs="宋体" w:hint="eastAsia"/>
                <w:szCs w:val="21"/>
              </w:rPr>
              <w:t>的检查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lastRenderedPageBreak/>
              <w:t>15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电动葫芦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断火限位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检查断火限位工作是否正常</w:t>
            </w:r>
          </w:p>
        </w:tc>
      </w:tr>
      <w:tr w:rsidR="00B30AD6" w:rsidRPr="00B30AD6" w:rsidTr="00CD3B75">
        <w:trPr>
          <w:tblHeader/>
        </w:trPr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电动葫芦</w:t>
            </w:r>
          </w:p>
          <w:p w:rsidR="00B30AD6" w:rsidRPr="00B30AD6" w:rsidRDefault="00B30AD6" w:rsidP="00B30AD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称重传感器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D6" w:rsidRPr="00B30AD6" w:rsidRDefault="00B30AD6" w:rsidP="00B30AD6">
            <w:pPr>
              <w:rPr>
                <w:rFonts w:ascii="宋体" w:eastAsia="宋体" w:hAnsi="宋体" w:cs="宋体"/>
                <w:szCs w:val="21"/>
              </w:rPr>
            </w:pPr>
            <w:r w:rsidRPr="00B30AD6">
              <w:rPr>
                <w:rFonts w:ascii="宋体" w:eastAsia="宋体" w:hAnsi="宋体" w:cs="宋体" w:hint="eastAsia"/>
                <w:szCs w:val="21"/>
              </w:rPr>
              <w:t>检查称重传感器是否正常</w:t>
            </w:r>
          </w:p>
        </w:tc>
      </w:tr>
    </w:tbl>
    <w:p w:rsidR="00B30AD6" w:rsidRPr="00B30AD6" w:rsidRDefault="00B30AD6" w:rsidP="006D4521">
      <w:pPr>
        <w:rPr>
          <w:rFonts w:ascii="宋体" w:hAnsi="宋体"/>
          <w:spacing w:val="16"/>
          <w:sz w:val="28"/>
          <w:szCs w:val="28"/>
        </w:rPr>
      </w:pPr>
    </w:p>
    <w:p w:rsidR="00AF795B" w:rsidRPr="00A82E85" w:rsidRDefault="00C146B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2</w:t>
      </w:r>
      <w:r w:rsidR="00C34E56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机具要求：检修用脚手架、安全网、安全带、安全帽、工作服、手套、防砸鞋、耳塞、</w:t>
      </w:r>
      <w:r w:rsidR="00692613" w:rsidRPr="00A82E85">
        <w:rPr>
          <w:rFonts w:ascii="宋体" w:eastAsia="宋体" w:hAnsi="宋体" w:hint="eastAsia"/>
          <w:spacing w:val="16"/>
          <w:sz w:val="24"/>
          <w:szCs w:val="24"/>
        </w:rPr>
        <w:t>防护眼镜等劳保用品、所有的工器具等施工用品，除了在本技术要求内明确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说明为昆</w:t>
      </w:r>
      <w:proofErr w:type="gramStart"/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提供的材料，均由施工单位提供。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3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检修设施、设备的位置编号、名称、型号规格、数量清单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以 《</w:t>
      </w:r>
      <w:r w:rsidR="00085315" w:rsidRPr="00A82E85">
        <w:rPr>
          <w:rFonts w:ascii="宋体" w:eastAsia="宋体" w:hAnsi="宋体" w:hint="eastAsia"/>
          <w:spacing w:val="16"/>
          <w:sz w:val="24"/>
          <w:szCs w:val="24"/>
        </w:rPr>
        <w:t>起重机械现场维保服务技术要求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》及现场踏勘后的数量为准。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4、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招标购买的设施、设备</w:t>
      </w:r>
      <w:r w:rsidR="006D4521" w:rsidRPr="00A82E85">
        <w:rPr>
          <w:rFonts w:ascii="宋体" w:eastAsia="宋体" w:hAnsi="宋体" w:hint="eastAsia"/>
          <w:spacing w:val="16"/>
          <w:sz w:val="24"/>
          <w:szCs w:val="24"/>
        </w:rPr>
        <w:t>位置编号、名称、型号规格、数量、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品牌清单</w:t>
      </w:r>
      <w:r w:rsidR="00EC4164" w:rsidRPr="00A82E85">
        <w:rPr>
          <w:rFonts w:ascii="宋体" w:eastAsia="宋体" w:hAnsi="宋体"/>
          <w:spacing w:val="16"/>
          <w:sz w:val="24"/>
          <w:szCs w:val="24"/>
        </w:rPr>
        <w:t>乙方负责依照</w:t>
      </w:r>
      <w:r w:rsidR="00085315" w:rsidRPr="00A82E85">
        <w:rPr>
          <w:rFonts w:ascii="宋体" w:eastAsia="宋体" w:hAnsi="宋体" w:hint="eastAsia"/>
          <w:spacing w:val="16"/>
          <w:sz w:val="24"/>
          <w:szCs w:val="24"/>
        </w:rPr>
        <w:t>国家</w:t>
      </w:r>
      <w:r w:rsidR="006D4521" w:rsidRPr="00A82E85">
        <w:rPr>
          <w:rFonts w:ascii="宋体" w:eastAsia="宋体" w:hAnsi="宋体" w:hint="eastAsia"/>
          <w:spacing w:val="16"/>
          <w:sz w:val="24"/>
          <w:szCs w:val="24"/>
        </w:rPr>
        <w:t>特种设备管理</w:t>
      </w:r>
      <w:r w:rsidR="00085315" w:rsidRPr="00A82E85">
        <w:rPr>
          <w:rFonts w:ascii="宋体" w:eastAsia="宋体" w:hAnsi="宋体" w:hint="eastAsia"/>
          <w:spacing w:val="16"/>
          <w:sz w:val="24"/>
          <w:szCs w:val="24"/>
        </w:rPr>
        <w:t>要求采购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检修内容</w:t>
      </w:r>
      <w:r w:rsidR="00EC4164" w:rsidRPr="00A82E85">
        <w:rPr>
          <w:rFonts w:ascii="宋体" w:eastAsia="宋体" w:hAnsi="宋体" w:hint="eastAsia"/>
          <w:spacing w:val="16"/>
          <w:sz w:val="24"/>
          <w:szCs w:val="24"/>
        </w:rPr>
        <w:t>所需材料，</w:t>
      </w:r>
      <w:r w:rsidR="00692613" w:rsidRPr="00A82E85">
        <w:rPr>
          <w:rFonts w:ascii="宋体" w:eastAsia="宋体" w:hAnsi="宋体" w:hint="eastAsia"/>
          <w:spacing w:val="16"/>
          <w:sz w:val="24"/>
          <w:szCs w:val="24"/>
        </w:rPr>
        <w:t>使用的</w:t>
      </w:r>
      <w:r w:rsidR="00085315" w:rsidRPr="00A82E85">
        <w:rPr>
          <w:rFonts w:ascii="宋体" w:eastAsia="宋体" w:hAnsi="宋体" w:hint="eastAsia"/>
          <w:spacing w:val="16"/>
          <w:sz w:val="24"/>
          <w:szCs w:val="24"/>
        </w:rPr>
        <w:t>装置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及相关部件</w:t>
      </w:r>
      <w:r w:rsidR="00692613" w:rsidRPr="00A82E85">
        <w:rPr>
          <w:rFonts w:ascii="宋体" w:eastAsia="宋体" w:hAnsi="宋体" w:hint="eastAsia"/>
          <w:spacing w:val="16"/>
          <w:sz w:val="24"/>
          <w:szCs w:val="24"/>
        </w:rPr>
        <w:t>必须是</w:t>
      </w:r>
      <w:r w:rsidR="00085315" w:rsidRPr="00A82E85">
        <w:rPr>
          <w:rFonts w:ascii="宋体" w:eastAsia="宋体" w:hAnsi="宋体" w:hint="eastAsia"/>
          <w:spacing w:val="16"/>
          <w:sz w:val="24"/>
          <w:szCs w:val="24"/>
        </w:rPr>
        <w:t>国家职能部门</w:t>
      </w:r>
      <w:r w:rsidR="001B74B1" w:rsidRPr="00A82E85">
        <w:rPr>
          <w:rFonts w:ascii="宋体" w:eastAsia="宋体" w:hAnsi="宋体" w:hint="eastAsia"/>
          <w:spacing w:val="16"/>
          <w:sz w:val="24"/>
          <w:szCs w:val="24"/>
        </w:rPr>
        <w:t>认可</w:t>
      </w:r>
      <w:r w:rsidR="00692613" w:rsidRPr="00A82E85">
        <w:rPr>
          <w:rFonts w:ascii="宋体" w:eastAsia="宋体" w:hAnsi="宋体" w:hint="eastAsia"/>
          <w:spacing w:val="16"/>
          <w:sz w:val="24"/>
          <w:szCs w:val="24"/>
        </w:rPr>
        <w:t>原厂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出品</w:t>
      </w:r>
      <w:r w:rsidR="00692613" w:rsidRPr="00A82E85">
        <w:rPr>
          <w:rFonts w:ascii="宋体" w:eastAsia="宋体" w:hAnsi="宋体" w:hint="eastAsia"/>
          <w:spacing w:val="16"/>
          <w:sz w:val="24"/>
          <w:szCs w:val="24"/>
        </w:rPr>
        <w:t>或是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其认证许可的，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 xml:space="preserve"> 以《</w:t>
      </w:r>
      <w:r w:rsidR="001B74B1" w:rsidRPr="00A82E85">
        <w:rPr>
          <w:rFonts w:ascii="宋体" w:eastAsia="宋体" w:hAnsi="宋体" w:hint="eastAsia"/>
          <w:spacing w:val="16"/>
          <w:sz w:val="24"/>
          <w:szCs w:val="24"/>
        </w:rPr>
        <w:t>起重机械现场维保服务技术要求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》及现场踏勘后的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为准。</w:t>
      </w:r>
    </w:p>
    <w:p w:rsidR="001B74B1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5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5972FF" w:rsidRPr="00A82E85">
        <w:rPr>
          <w:rFonts w:ascii="宋体" w:eastAsia="宋体" w:hAnsi="宋体" w:hint="eastAsia"/>
          <w:spacing w:val="16"/>
          <w:sz w:val="24"/>
          <w:szCs w:val="24"/>
        </w:rPr>
        <w:t>维保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购买的材料名称、型号规格、数量、品牌清单</w:t>
      </w:r>
      <w:r w:rsidR="00EC4164" w:rsidRPr="00A82E85">
        <w:rPr>
          <w:rFonts w:ascii="宋体" w:eastAsia="宋体" w:hAnsi="宋体"/>
          <w:spacing w:val="16"/>
          <w:sz w:val="24"/>
          <w:szCs w:val="24"/>
        </w:rPr>
        <w:t>乙方</w:t>
      </w:r>
      <w:r w:rsidR="009F5863" w:rsidRPr="00A82E85">
        <w:rPr>
          <w:rFonts w:ascii="宋体" w:eastAsia="宋体" w:hAnsi="宋体" w:hint="eastAsia"/>
          <w:spacing w:val="16"/>
          <w:sz w:val="24"/>
          <w:szCs w:val="24"/>
        </w:rPr>
        <w:t>负责</w:t>
      </w:r>
      <w:r w:rsidR="00EC4164" w:rsidRPr="00A82E85">
        <w:rPr>
          <w:rFonts w:ascii="宋体" w:eastAsia="宋体" w:hAnsi="宋体"/>
          <w:spacing w:val="16"/>
          <w:sz w:val="24"/>
          <w:szCs w:val="24"/>
        </w:rPr>
        <w:t>对</w:t>
      </w:r>
      <w:r w:rsidR="00CD3B75" w:rsidRPr="00A82E85">
        <w:rPr>
          <w:rFonts w:ascii="宋体" w:eastAsia="宋体" w:hAnsi="宋体" w:hint="eastAsia"/>
          <w:spacing w:val="16"/>
          <w:sz w:val="24"/>
          <w:szCs w:val="24"/>
        </w:rPr>
        <w:t>单台起重机械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检修</w:t>
      </w:r>
      <w:r w:rsidR="001B74B1" w:rsidRPr="00A82E85">
        <w:rPr>
          <w:rFonts w:ascii="宋体" w:eastAsia="宋体" w:hAnsi="宋体" w:hint="eastAsia"/>
          <w:spacing w:val="16"/>
          <w:sz w:val="24"/>
          <w:szCs w:val="24"/>
        </w:rPr>
        <w:t>维护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内容</w:t>
      </w:r>
      <w:r w:rsidR="00EC4164" w:rsidRPr="00A82E85">
        <w:rPr>
          <w:rFonts w:ascii="宋体" w:eastAsia="宋体" w:hAnsi="宋体" w:hint="eastAsia"/>
          <w:spacing w:val="16"/>
          <w:sz w:val="24"/>
          <w:szCs w:val="24"/>
        </w:rPr>
        <w:t>中</w:t>
      </w:r>
      <w:r w:rsidR="009F5863" w:rsidRPr="00A82E85">
        <w:rPr>
          <w:rFonts w:ascii="宋体" w:eastAsia="宋体" w:hAnsi="宋体" w:hint="eastAsia"/>
          <w:spacing w:val="16"/>
          <w:sz w:val="24"/>
          <w:szCs w:val="24"/>
        </w:rPr>
        <w:t>所需材料费低于人民币贰佰元以下免费提供，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使用的</w:t>
      </w:r>
      <w:r w:rsidR="001B74B1" w:rsidRPr="00A82E85">
        <w:rPr>
          <w:rFonts w:ascii="宋体" w:eastAsia="宋体" w:hAnsi="宋体" w:hint="eastAsia"/>
          <w:spacing w:val="16"/>
          <w:sz w:val="24"/>
          <w:szCs w:val="24"/>
        </w:rPr>
        <w:t>相关材</w:t>
      </w:r>
      <w:r w:rsidR="007977A3" w:rsidRPr="00A82E85">
        <w:rPr>
          <w:rFonts w:ascii="宋体" w:eastAsia="宋体" w:hAnsi="宋体" w:hint="eastAsia"/>
          <w:spacing w:val="16"/>
          <w:sz w:val="24"/>
          <w:szCs w:val="24"/>
        </w:rPr>
        <w:t>料和相关部件必须是</w:t>
      </w:r>
      <w:r w:rsidR="001B74B1" w:rsidRPr="00A82E85">
        <w:rPr>
          <w:rFonts w:ascii="宋体" w:eastAsia="宋体" w:hAnsi="宋体" w:hint="eastAsia"/>
          <w:spacing w:val="16"/>
          <w:sz w:val="24"/>
          <w:szCs w:val="24"/>
        </w:rPr>
        <w:t>国家职能部门认可原厂出品或是其认证许可的。</w:t>
      </w:r>
      <w:r w:rsidR="0074326D">
        <w:rPr>
          <w:rFonts w:ascii="宋体" w:eastAsia="宋体" w:hAnsi="宋体" w:hint="eastAsia"/>
          <w:spacing w:val="16"/>
          <w:sz w:val="24"/>
          <w:szCs w:val="24"/>
        </w:rPr>
        <w:t>超过贰佰元的维修备件和材料由甲方购买，乙方负责更换。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6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提供用于招标的图纸和资料</w:t>
      </w:r>
      <w:bookmarkStart w:id="0" w:name="_GoBack"/>
      <w:bookmarkEnd w:id="0"/>
    </w:p>
    <w:p w:rsidR="00AF795B" w:rsidRPr="00A82E85" w:rsidRDefault="00117444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按照《起重机械安全技术监察规范 桥式起重机TSG Q0002-2008》提供相关的</w:t>
      </w:r>
      <w:r w:rsidR="00944FAA" w:rsidRPr="00A82E85">
        <w:rPr>
          <w:rFonts w:ascii="宋体" w:eastAsia="宋体" w:hAnsi="宋体" w:hint="eastAsia"/>
          <w:spacing w:val="16"/>
          <w:sz w:val="24"/>
          <w:szCs w:val="24"/>
        </w:rPr>
        <w:t>限制器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合格证，出厂资料，其它改造证明资料。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7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技术服务要求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由施工单位根据</w:t>
      </w:r>
      <w:proofErr w:type="gramStart"/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维保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内容</w:t>
      </w:r>
      <w:proofErr w:type="gramEnd"/>
      <w:r w:rsidRPr="00A82E85">
        <w:rPr>
          <w:rFonts w:ascii="宋体" w:eastAsia="宋体" w:hAnsi="宋体" w:hint="eastAsia"/>
          <w:spacing w:val="16"/>
          <w:sz w:val="24"/>
          <w:szCs w:val="24"/>
        </w:rPr>
        <w:t>提供至项目工程师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维保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项目的工期进度计划、人员安排计划、技术施工方案及安全方案</w:t>
      </w:r>
      <w:r w:rsidR="00125DD2" w:rsidRPr="00A82E85">
        <w:rPr>
          <w:rFonts w:ascii="宋体" w:eastAsia="宋体" w:hAnsi="宋体" w:hint="eastAsia"/>
          <w:spacing w:val="16"/>
          <w:sz w:val="24"/>
          <w:szCs w:val="24"/>
        </w:rPr>
        <w:t>，完成并提供</w:t>
      </w:r>
      <w:r w:rsidR="005972FF" w:rsidRPr="00A82E85">
        <w:rPr>
          <w:rFonts w:ascii="宋体" w:eastAsia="宋体" w:hAnsi="宋体" w:hint="eastAsia"/>
          <w:spacing w:val="16"/>
          <w:sz w:val="24"/>
          <w:szCs w:val="24"/>
        </w:rPr>
        <w:t>单台起重机械</w:t>
      </w:r>
      <w:r w:rsidR="00125DD2" w:rsidRPr="00A82E85">
        <w:rPr>
          <w:rFonts w:ascii="宋体" w:eastAsia="宋体" w:hAnsi="宋体" w:hint="eastAsia"/>
          <w:spacing w:val="16"/>
          <w:sz w:val="24"/>
          <w:szCs w:val="24"/>
        </w:rPr>
        <w:t>书面维保报告和</w:t>
      </w:r>
      <w:r w:rsidR="009F1816" w:rsidRPr="00A82E85">
        <w:rPr>
          <w:rFonts w:ascii="宋体" w:eastAsia="宋体" w:hAnsi="宋体" w:hint="eastAsia"/>
          <w:spacing w:val="16"/>
          <w:sz w:val="24"/>
          <w:szCs w:val="24"/>
        </w:rPr>
        <w:t>年度</w:t>
      </w:r>
      <w:r w:rsidR="00125DD2" w:rsidRPr="00A82E85">
        <w:rPr>
          <w:rFonts w:ascii="宋体" w:eastAsia="宋体" w:hAnsi="宋体" w:hint="eastAsia"/>
          <w:spacing w:val="16"/>
          <w:sz w:val="24"/>
          <w:szCs w:val="24"/>
        </w:rPr>
        <w:t>自检报告，满足云南省特检院的年度检验要求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8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设备运行稳定性及可靠性要求</w:t>
      </w:r>
    </w:p>
    <w:p w:rsidR="00AF795B" w:rsidRPr="00A82E85" w:rsidRDefault="00117444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维保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检修完成后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要求达到设备稳定安全运行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9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维修要求</w:t>
      </w:r>
    </w:p>
    <w:p w:rsidR="00AF795B" w:rsidRPr="00A82E85" w:rsidRDefault="00EC4164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此检修项目完成后，由施工单位对所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改装维保的起重机械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负责，在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lastRenderedPageBreak/>
        <w:t>质保期内，如出现质量问题，施工单位应在24小时内及时赶到，并进行无偿处理。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10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备件要求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无备件要求</w:t>
      </w:r>
      <w:r w:rsidR="00C34E56"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AF795B" w:rsidRPr="00A82E85" w:rsidRDefault="00C34E56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11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相</w:t>
      </w:r>
      <w:r w:rsidR="00EC4164" w:rsidRPr="00A82E85">
        <w:rPr>
          <w:rFonts w:ascii="宋体" w:eastAsia="宋体" w:hAnsi="宋体" w:hint="eastAsia"/>
          <w:spacing w:val="16"/>
          <w:sz w:val="24"/>
          <w:szCs w:val="24"/>
        </w:rPr>
        <w:t>关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支持的软件要求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无</w:t>
      </w:r>
      <w:r w:rsidR="00C34E56"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AF795B" w:rsidRPr="00CB7DD2" w:rsidRDefault="00AF1568" w:rsidP="00CB7DD2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CB7DD2">
        <w:rPr>
          <w:rFonts w:ascii="黑体" w:eastAsia="黑体" w:hAnsi="黑体" w:hint="eastAsia"/>
          <w:spacing w:val="16"/>
          <w:sz w:val="28"/>
          <w:szCs w:val="28"/>
        </w:rPr>
        <w:t>维保施工</w:t>
      </w:r>
      <w:r w:rsidR="00AF795B" w:rsidRPr="00CB7DD2">
        <w:rPr>
          <w:rFonts w:ascii="黑体" w:eastAsia="黑体" w:hAnsi="黑体" w:hint="eastAsia"/>
          <w:spacing w:val="16"/>
          <w:sz w:val="28"/>
          <w:szCs w:val="28"/>
        </w:rPr>
        <w:t xml:space="preserve">安全和进度 </w:t>
      </w:r>
    </w:p>
    <w:p w:rsidR="0084348F" w:rsidRPr="00A82E85" w:rsidRDefault="0084348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1</w:t>
      </w:r>
      <w:r w:rsidR="00011053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施工区域安全要求（防爆、防尘、防水、连续生产、连锁保护等安全要求）施工现场隔离、防火、防爆，听从监护人员的指挥。</w:t>
      </w:r>
    </w:p>
    <w:p w:rsidR="0084348F" w:rsidRPr="00A82E85" w:rsidRDefault="0084348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2</w:t>
      </w:r>
      <w:r w:rsidR="00011053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施工安全方案要求</w:t>
      </w:r>
    </w:p>
    <w:p w:rsidR="0084348F" w:rsidRPr="00A82E85" w:rsidRDefault="0084348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严格执行昆</w:t>
      </w:r>
      <w:proofErr w:type="gramStart"/>
      <w:r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Pr="00A82E85">
        <w:rPr>
          <w:rFonts w:ascii="宋体" w:eastAsia="宋体" w:hAnsi="宋体" w:hint="eastAsia"/>
          <w:spacing w:val="16"/>
          <w:sz w:val="24"/>
          <w:szCs w:val="24"/>
        </w:rPr>
        <w:t xml:space="preserve">安全要求，编制施工安全方案，负责人需具有现场调节阀施工调试经验。 </w:t>
      </w:r>
    </w:p>
    <w:p w:rsidR="0084348F" w:rsidRPr="00A82E85" w:rsidRDefault="00011053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2.1</w:t>
      </w:r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项目施工时施工单位除执行国家相关安全规范外，还应严格执行昆</w:t>
      </w:r>
      <w:proofErr w:type="gramStart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公司管理规定，严格认真做好方案、审批、联络、应急等工作要求。施工单位应指定安全员进行监督。</w:t>
      </w:r>
    </w:p>
    <w:p w:rsidR="0084348F" w:rsidRPr="00A82E85" w:rsidRDefault="00011053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2.2</w:t>
      </w:r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如果施工时违反上述三个表的要求，将视为违反《承包商环境、健康、安全协议》第六条的规定。第一次违章时将受到每人次</w:t>
      </w:r>
      <w:r w:rsidRPr="00A82E85">
        <w:rPr>
          <w:rFonts w:ascii="宋体" w:eastAsia="宋体" w:hAnsi="宋体"/>
          <w:spacing w:val="16"/>
          <w:sz w:val="24"/>
          <w:szCs w:val="24"/>
        </w:rPr>
        <w:t>5</w:t>
      </w:r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00元的扣款，第二次将受到每人次</w:t>
      </w:r>
      <w:r w:rsidRPr="00A82E85">
        <w:rPr>
          <w:rFonts w:ascii="宋体" w:eastAsia="宋体" w:hAnsi="宋体"/>
          <w:spacing w:val="16"/>
          <w:sz w:val="24"/>
          <w:szCs w:val="24"/>
        </w:rPr>
        <w:t>10</w:t>
      </w:r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00元扣款，第三次违章时违章人员将不得进入昆</w:t>
      </w:r>
      <w:proofErr w:type="gramStart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施工。</w:t>
      </w:r>
    </w:p>
    <w:p w:rsidR="0084348F" w:rsidRPr="00A82E85" w:rsidRDefault="00011053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2.3</w:t>
      </w:r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报价时注意：施工中涉及搭拆脚手架工程的，脚手架需选用昆</w:t>
      </w:r>
      <w:proofErr w:type="gramStart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提供的</w:t>
      </w:r>
      <w:proofErr w:type="gramStart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承插型盘扣</w:t>
      </w:r>
      <w:proofErr w:type="gramEnd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式钢管支架（含钢管、扣件、钢跳板等），乙方报价时只报搭设和拆除的人工费及安全网等费用（安全网由乙方提供）、否则在报价预算书审核时，由昆纤扣减。由施工单位根据昆</w:t>
      </w:r>
      <w:proofErr w:type="gramStart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现场的实际情况，严格依照昆纤安全要求，编制满足招标文件要求的《施工进度计划表》《施工安全方案》提交项目负责人。特别是涉及高处作业的项目，需要提供具体的安全防护和人员保护措施，经过昆</w:t>
      </w:r>
      <w:proofErr w:type="gramStart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="0084348F" w:rsidRPr="00A82E85">
        <w:rPr>
          <w:rFonts w:ascii="宋体" w:eastAsia="宋体" w:hAnsi="宋体" w:hint="eastAsia"/>
          <w:spacing w:val="16"/>
          <w:sz w:val="24"/>
          <w:szCs w:val="24"/>
        </w:rPr>
        <w:t>相关人员进行审核后，方可进行施工；</w:t>
      </w:r>
    </w:p>
    <w:p w:rsidR="0084348F" w:rsidRPr="00A82E85" w:rsidRDefault="0084348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3</w:t>
      </w:r>
      <w:r w:rsidR="00011053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项目进度要求（施工进度、工期、时间要求）</w:t>
      </w:r>
    </w:p>
    <w:p w:rsidR="0084348F" w:rsidRPr="00A82E85" w:rsidRDefault="0084348F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项目进度及工期要求：</w:t>
      </w:r>
      <w:r w:rsidR="00653262" w:rsidRPr="00A82E85">
        <w:rPr>
          <w:rFonts w:ascii="宋体" w:eastAsia="宋体" w:hAnsi="宋体" w:hint="eastAsia"/>
          <w:spacing w:val="16"/>
          <w:sz w:val="24"/>
          <w:szCs w:val="24"/>
        </w:rPr>
        <w:t>若有相关施工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，要求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维保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的所有项目必须在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lastRenderedPageBreak/>
        <w:t>规定的时间内完成。施工单位在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维保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前一周到昆</w:t>
      </w:r>
      <w:proofErr w:type="gramStart"/>
      <w:r w:rsidRPr="00A82E85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Pr="00A82E85">
        <w:rPr>
          <w:rFonts w:ascii="宋体" w:eastAsia="宋体" w:hAnsi="宋体" w:hint="eastAsia"/>
          <w:spacing w:val="16"/>
          <w:sz w:val="24"/>
          <w:szCs w:val="24"/>
        </w:rPr>
        <w:t>做好相关的准备工作，以确保项目按时、按质、按量的完成。</w:t>
      </w:r>
    </w:p>
    <w:p w:rsidR="00AF795B" w:rsidRPr="00B70A96" w:rsidRDefault="00944FAA" w:rsidP="00B70A96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B70A96">
        <w:rPr>
          <w:rFonts w:ascii="黑体" w:eastAsia="黑体" w:hAnsi="黑体" w:hint="eastAsia"/>
          <w:spacing w:val="16"/>
          <w:sz w:val="28"/>
          <w:szCs w:val="28"/>
        </w:rPr>
        <w:t>整改</w:t>
      </w:r>
      <w:r w:rsidR="00AF795B" w:rsidRPr="00B70A96">
        <w:rPr>
          <w:rFonts w:ascii="黑体" w:eastAsia="黑体" w:hAnsi="黑体" w:hint="eastAsia"/>
          <w:spacing w:val="16"/>
          <w:sz w:val="28"/>
          <w:szCs w:val="28"/>
        </w:rPr>
        <w:t>调试及验收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1</w:t>
      </w:r>
      <w:r w:rsidR="00B70A96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="00944FAA" w:rsidRPr="00A82E85">
        <w:rPr>
          <w:rFonts w:ascii="宋体" w:eastAsia="宋体" w:hAnsi="宋体" w:hint="eastAsia"/>
          <w:spacing w:val="16"/>
          <w:sz w:val="24"/>
          <w:szCs w:val="24"/>
        </w:rPr>
        <w:t>整改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 xml:space="preserve">调试要求 </w:t>
      </w:r>
    </w:p>
    <w:p w:rsidR="00AF795B" w:rsidRPr="00A82E85" w:rsidRDefault="00944FAA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整改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安装、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维护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符合要求，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安装调试和维保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结束，</w:t>
      </w:r>
      <w:r w:rsidR="00117444" w:rsidRPr="00A82E85">
        <w:rPr>
          <w:rFonts w:ascii="宋体" w:eastAsia="宋体" w:hAnsi="宋体" w:hint="eastAsia"/>
          <w:spacing w:val="16"/>
          <w:sz w:val="24"/>
          <w:szCs w:val="24"/>
        </w:rPr>
        <w:t>设备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投入运行后无</w:t>
      </w:r>
      <w:r w:rsidR="00163880" w:rsidRPr="00A82E85">
        <w:rPr>
          <w:rFonts w:ascii="宋体" w:eastAsia="宋体" w:hAnsi="宋体" w:hint="eastAsia"/>
          <w:spacing w:val="16"/>
          <w:sz w:val="24"/>
          <w:szCs w:val="24"/>
        </w:rPr>
        <w:t>缺陷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，达到正常使用情况为合格。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2</w:t>
      </w:r>
      <w:r w:rsidR="00B70A96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工程质量验收标准和要求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/>
          <w:spacing w:val="16"/>
          <w:sz w:val="24"/>
          <w:szCs w:val="24"/>
        </w:rPr>
        <w:t>按照</w:t>
      </w:r>
      <w:r w:rsidR="00163880" w:rsidRPr="00A82E85">
        <w:rPr>
          <w:rFonts w:ascii="宋体" w:eastAsia="宋体" w:hAnsi="宋体" w:hint="eastAsia"/>
          <w:spacing w:val="16"/>
          <w:sz w:val="24"/>
          <w:szCs w:val="24"/>
        </w:rPr>
        <w:t>《起重机械安全技术监察规范 桥式起重机TSG Q0002-2008》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及检修项目验收清单</w:t>
      </w:r>
      <w:r w:rsidRPr="00A82E85">
        <w:rPr>
          <w:rFonts w:ascii="宋体" w:eastAsia="宋体" w:hAnsi="宋体"/>
          <w:spacing w:val="16"/>
          <w:sz w:val="24"/>
          <w:szCs w:val="24"/>
        </w:rPr>
        <w:t>进行。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3</w:t>
      </w:r>
      <w:r w:rsidR="00B70A96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质保期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质保期为1年，在质保期内，如出现质量问题，施工单位应在24小时内及时赶到，并进行无偿处理。</w:t>
      </w:r>
    </w:p>
    <w:p w:rsidR="00AF795B" w:rsidRPr="00B70A96" w:rsidRDefault="00AF795B" w:rsidP="00B70A96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B70A96">
        <w:rPr>
          <w:rFonts w:ascii="黑体" w:eastAsia="黑体" w:hAnsi="黑体" w:hint="eastAsia"/>
          <w:spacing w:val="16"/>
          <w:sz w:val="28"/>
          <w:szCs w:val="28"/>
        </w:rPr>
        <w:t>资料及培训</w:t>
      </w:r>
    </w:p>
    <w:p w:rsidR="00B70A96" w:rsidRPr="00A82E85" w:rsidRDefault="00A82E85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>
        <w:rPr>
          <w:rFonts w:ascii="宋体" w:eastAsia="宋体" w:hAnsi="宋体" w:hint="eastAsia"/>
          <w:spacing w:val="16"/>
          <w:sz w:val="24"/>
          <w:szCs w:val="24"/>
        </w:rPr>
        <w:t>1、</w:t>
      </w:r>
      <w:r w:rsidR="00AF795B" w:rsidRPr="00A82E85">
        <w:rPr>
          <w:rFonts w:ascii="宋体" w:eastAsia="宋体" w:hAnsi="宋体" w:hint="eastAsia"/>
          <w:spacing w:val="16"/>
          <w:sz w:val="24"/>
          <w:szCs w:val="24"/>
        </w:rPr>
        <w:t>项目需交付的图纸、资料、*证书、*报告的数量和方式</w:t>
      </w:r>
    </w:p>
    <w:p w:rsidR="00AF795B" w:rsidRPr="00A82E85" w:rsidRDefault="00734C8C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维保报告和年度自检报告</w:t>
      </w:r>
      <w:r w:rsidR="00B70A96"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B70A96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2</w:t>
      </w:r>
      <w:r w:rsidR="00B70A96" w:rsidRPr="00A82E85">
        <w:rPr>
          <w:rFonts w:ascii="宋体" w:eastAsia="宋体" w:hAnsi="宋体" w:hint="eastAsia"/>
          <w:spacing w:val="16"/>
          <w:sz w:val="24"/>
          <w:szCs w:val="24"/>
        </w:rPr>
        <w:t>、</w:t>
      </w:r>
      <w:r w:rsidRPr="00A82E85">
        <w:rPr>
          <w:rFonts w:ascii="宋体" w:eastAsia="宋体" w:hAnsi="宋体" w:hint="eastAsia"/>
          <w:spacing w:val="16"/>
          <w:sz w:val="24"/>
          <w:szCs w:val="24"/>
        </w:rPr>
        <w:t>培训时间、地点、人数要求</w:t>
      </w:r>
    </w:p>
    <w:p w:rsidR="00AF795B" w:rsidRPr="00A82E85" w:rsidRDefault="00AF795B" w:rsidP="00A82E85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A82E85">
        <w:rPr>
          <w:rFonts w:ascii="宋体" w:eastAsia="宋体" w:hAnsi="宋体" w:hint="eastAsia"/>
          <w:spacing w:val="16"/>
          <w:sz w:val="24"/>
          <w:szCs w:val="24"/>
        </w:rPr>
        <w:t>无</w:t>
      </w:r>
      <w:r w:rsidR="00B70A96" w:rsidRPr="00A82E85">
        <w:rPr>
          <w:rFonts w:ascii="宋体" w:eastAsia="宋体" w:hAnsi="宋体" w:hint="eastAsia"/>
          <w:spacing w:val="16"/>
          <w:sz w:val="24"/>
          <w:szCs w:val="24"/>
        </w:rPr>
        <w:t>。</w:t>
      </w:r>
    </w:p>
    <w:p w:rsidR="00AF795B" w:rsidRPr="00B70A96" w:rsidRDefault="00AF795B" w:rsidP="00B70A96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B70A96">
        <w:rPr>
          <w:rFonts w:ascii="黑体" w:eastAsia="黑体" w:hAnsi="黑体" w:hint="eastAsia"/>
          <w:spacing w:val="16"/>
          <w:sz w:val="28"/>
          <w:szCs w:val="28"/>
        </w:rPr>
        <w:t>技术专有权</w:t>
      </w:r>
    </w:p>
    <w:p w:rsidR="00AF795B" w:rsidRPr="00721BCB" w:rsidRDefault="00B70A96" w:rsidP="00721BCB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721BCB">
        <w:rPr>
          <w:rFonts w:ascii="宋体" w:eastAsia="宋体" w:hAnsi="宋体" w:hint="eastAsia"/>
          <w:spacing w:val="16"/>
          <w:sz w:val="24"/>
          <w:szCs w:val="24"/>
        </w:rPr>
        <w:t xml:space="preserve"> </w:t>
      </w:r>
      <w:r w:rsidR="00AF795B" w:rsidRPr="00721BCB">
        <w:rPr>
          <w:rFonts w:ascii="宋体" w:eastAsia="宋体" w:hAnsi="宋体" w:hint="eastAsia"/>
          <w:spacing w:val="16"/>
          <w:sz w:val="24"/>
          <w:szCs w:val="24"/>
        </w:rPr>
        <w:t>无</w:t>
      </w:r>
    </w:p>
    <w:p w:rsidR="00AF795B" w:rsidRPr="00B70A96" w:rsidRDefault="00AF795B" w:rsidP="00B70A96">
      <w:pPr>
        <w:numPr>
          <w:ilvl w:val="0"/>
          <w:numId w:val="1"/>
        </w:numPr>
        <w:spacing w:line="360" w:lineRule="auto"/>
        <w:rPr>
          <w:rFonts w:ascii="黑体" w:eastAsia="黑体" w:hAnsi="黑体"/>
          <w:spacing w:val="16"/>
          <w:sz w:val="28"/>
          <w:szCs w:val="28"/>
        </w:rPr>
      </w:pPr>
      <w:r w:rsidRPr="00B70A96">
        <w:rPr>
          <w:rFonts w:ascii="黑体" w:eastAsia="黑体" w:hAnsi="黑体" w:hint="eastAsia"/>
          <w:spacing w:val="16"/>
          <w:sz w:val="28"/>
          <w:szCs w:val="28"/>
        </w:rPr>
        <w:t>保密协议</w:t>
      </w:r>
    </w:p>
    <w:p w:rsidR="00AF795B" w:rsidRPr="00721BCB" w:rsidRDefault="00AF795B" w:rsidP="00721BCB">
      <w:pPr>
        <w:spacing w:line="360" w:lineRule="auto"/>
        <w:ind w:firstLineChars="200" w:firstLine="544"/>
        <w:rPr>
          <w:rFonts w:ascii="宋体" w:eastAsia="宋体" w:hAnsi="宋体"/>
          <w:spacing w:val="16"/>
          <w:sz w:val="24"/>
          <w:szCs w:val="24"/>
        </w:rPr>
      </w:pPr>
      <w:r w:rsidRPr="00721BCB">
        <w:rPr>
          <w:rFonts w:ascii="宋体" w:eastAsia="宋体" w:hAnsi="宋体" w:hint="eastAsia"/>
          <w:spacing w:val="16"/>
          <w:sz w:val="24"/>
          <w:szCs w:val="24"/>
        </w:rPr>
        <w:t>施工单位须遵守昆</w:t>
      </w:r>
      <w:proofErr w:type="gramStart"/>
      <w:r w:rsidRPr="00721BCB">
        <w:rPr>
          <w:rFonts w:ascii="宋体" w:eastAsia="宋体" w:hAnsi="宋体" w:hint="eastAsia"/>
          <w:spacing w:val="16"/>
          <w:sz w:val="24"/>
          <w:szCs w:val="24"/>
        </w:rPr>
        <w:t>纤</w:t>
      </w:r>
      <w:proofErr w:type="gramEnd"/>
      <w:r w:rsidRPr="00721BCB">
        <w:rPr>
          <w:rFonts w:ascii="宋体" w:eastAsia="宋体" w:hAnsi="宋体" w:hint="eastAsia"/>
          <w:spacing w:val="16"/>
          <w:sz w:val="24"/>
          <w:szCs w:val="24"/>
        </w:rPr>
        <w:t>公司的技术保密协议。</w:t>
      </w:r>
    </w:p>
    <w:sectPr w:rsidR="00AF795B" w:rsidRPr="00721BCB" w:rsidSect="00CB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BE0" w:rsidRDefault="00CE0BE0" w:rsidP="0084348F">
      <w:r>
        <w:separator/>
      </w:r>
    </w:p>
  </w:endnote>
  <w:endnote w:type="continuationSeparator" w:id="0">
    <w:p w:rsidR="00CE0BE0" w:rsidRDefault="00CE0BE0" w:rsidP="0084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BE0" w:rsidRDefault="00CE0BE0" w:rsidP="0084348F">
      <w:r>
        <w:separator/>
      </w:r>
    </w:p>
  </w:footnote>
  <w:footnote w:type="continuationSeparator" w:id="0">
    <w:p w:rsidR="00CE0BE0" w:rsidRDefault="00CE0BE0" w:rsidP="0084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791"/>
    <w:multiLevelType w:val="hybridMultilevel"/>
    <w:tmpl w:val="84A89F54"/>
    <w:lvl w:ilvl="0" w:tplc="4CB660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BB701F"/>
    <w:multiLevelType w:val="hybridMultilevel"/>
    <w:tmpl w:val="313AE128"/>
    <w:lvl w:ilvl="0" w:tplc="69FA1CB2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EE5BF1"/>
    <w:multiLevelType w:val="hybridMultilevel"/>
    <w:tmpl w:val="66484A56"/>
    <w:lvl w:ilvl="0" w:tplc="3F785A3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9A598E"/>
    <w:multiLevelType w:val="hybridMultilevel"/>
    <w:tmpl w:val="BE8C76E4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6A"/>
    <w:rsid w:val="00003FA9"/>
    <w:rsid w:val="00011053"/>
    <w:rsid w:val="00023386"/>
    <w:rsid w:val="0002777F"/>
    <w:rsid w:val="000576F3"/>
    <w:rsid w:val="00085315"/>
    <w:rsid w:val="000B2056"/>
    <w:rsid w:val="000E7A44"/>
    <w:rsid w:val="00117444"/>
    <w:rsid w:val="00125DD2"/>
    <w:rsid w:val="0014627B"/>
    <w:rsid w:val="0016158F"/>
    <w:rsid w:val="00163880"/>
    <w:rsid w:val="00190911"/>
    <w:rsid w:val="001A0055"/>
    <w:rsid w:val="001B3BB9"/>
    <w:rsid w:val="001B74B1"/>
    <w:rsid w:val="001C6FC3"/>
    <w:rsid w:val="001F45FB"/>
    <w:rsid w:val="00236F5E"/>
    <w:rsid w:val="00250F09"/>
    <w:rsid w:val="00257031"/>
    <w:rsid w:val="002708E3"/>
    <w:rsid w:val="002757D2"/>
    <w:rsid w:val="002E2932"/>
    <w:rsid w:val="002E65ED"/>
    <w:rsid w:val="003236B9"/>
    <w:rsid w:val="003307FE"/>
    <w:rsid w:val="003426D9"/>
    <w:rsid w:val="00366B5E"/>
    <w:rsid w:val="003B56DF"/>
    <w:rsid w:val="004007AE"/>
    <w:rsid w:val="00484A6B"/>
    <w:rsid w:val="004C526A"/>
    <w:rsid w:val="004C6029"/>
    <w:rsid w:val="004D1899"/>
    <w:rsid w:val="004E2214"/>
    <w:rsid w:val="005655C0"/>
    <w:rsid w:val="005717FB"/>
    <w:rsid w:val="005972FF"/>
    <w:rsid w:val="005B72C6"/>
    <w:rsid w:val="005C76D6"/>
    <w:rsid w:val="005E6723"/>
    <w:rsid w:val="005F6C67"/>
    <w:rsid w:val="00605DBF"/>
    <w:rsid w:val="00611F39"/>
    <w:rsid w:val="006478AF"/>
    <w:rsid w:val="00653262"/>
    <w:rsid w:val="00656849"/>
    <w:rsid w:val="006842D7"/>
    <w:rsid w:val="00692613"/>
    <w:rsid w:val="006A30D8"/>
    <w:rsid w:val="006D4521"/>
    <w:rsid w:val="006E62A9"/>
    <w:rsid w:val="006F217A"/>
    <w:rsid w:val="00711069"/>
    <w:rsid w:val="00721BCB"/>
    <w:rsid w:val="0072339E"/>
    <w:rsid w:val="00724ABF"/>
    <w:rsid w:val="00727438"/>
    <w:rsid w:val="00727887"/>
    <w:rsid w:val="00734C8C"/>
    <w:rsid w:val="0074326D"/>
    <w:rsid w:val="0079055A"/>
    <w:rsid w:val="007977A3"/>
    <w:rsid w:val="00837EF6"/>
    <w:rsid w:val="0084348F"/>
    <w:rsid w:val="00861B7E"/>
    <w:rsid w:val="00893035"/>
    <w:rsid w:val="008B5762"/>
    <w:rsid w:val="008F24B6"/>
    <w:rsid w:val="00916269"/>
    <w:rsid w:val="00944FAA"/>
    <w:rsid w:val="00953D03"/>
    <w:rsid w:val="009865D2"/>
    <w:rsid w:val="009B440E"/>
    <w:rsid w:val="009F1816"/>
    <w:rsid w:val="009F5863"/>
    <w:rsid w:val="00A13F07"/>
    <w:rsid w:val="00A56F67"/>
    <w:rsid w:val="00A82E85"/>
    <w:rsid w:val="00A949E3"/>
    <w:rsid w:val="00AA25DD"/>
    <w:rsid w:val="00AF1568"/>
    <w:rsid w:val="00AF795B"/>
    <w:rsid w:val="00B30AD6"/>
    <w:rsid w:val="00B70A96"/>
    <w:rsid w:val="00B76934"/>
    <w:rsid w:val="00C146BF"/>
    <w:rsid w:val="00C34E56"/>
    <w:rsid w:val="00C37A91"/>
    <w:rsid w:val="00C632D0"/>
    <w:rsid w:val="00C7613B"/>
    <w:rsid w:val="00CB14B1"/>
    <w:rsid w:val="00CB340E"/>
    <w:rsid w:val="00CB6A61"/>
    <w:rsid w:val="00CB7DD2"/>
    <w:rsid w:val="00CD3B75"/>
    <w:rsid w:val="00CD3BDB"/>
    <w:rsid w:val="00CE0BE0"/>
    <w:rsid w:val="00D06218"/>
    <w:rsid w:val="00D36A0A"/>
    <w:rsid w:val="00D51F46"/>
    <w:rsid w:val="00D85B79"/>
    <w:rsid w:val="00DC60FF"/>
    <w:rsid w:val="00DE0221"/>
    <w:rsid w:val="00DE1225"/>
    <w:rsid w:val="00DF32F7"/>
    <w:rsid w:val="00E30A5C"/>
    <w:rsid w:val="00E44B19"/>
    <w:rsid w:val="00EC4164"/>
    <w:rsid w:val="00F2796E"/>
    <w:rsid w:val="00F71093"/>
    <w:rsid w:val="00FB45CD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41ECE"/>
  <w15:chartTrackingRefBased/>
  <w15:docId w15:val="{595DDD9B-6325-4EA9-9334-05FB7E4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2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2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34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348F"/>
    <w:rPr>
      <w:sz w:val="18"/>
      <w:szCs w:val="18"/>
    </w:rPr>
  </w:style>
  <w:style w:type="paragraph" w:styleId="a8">
    <w:name w:val="List Paragraph"/>
    <w:basedOn w:val="a"/>
    <w:uiPriority w:val="34"/>
    <w:qFormat/>
    <w:rsid w:val="006D4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Chongwen</dc:creator>
  <cp:keywords/>
  <dc:description/>
  <cp:lastModifiedBy>HeJunliang（贺俊良）</cp:lastModifiedBy>
  <cp:revision>42</cp:revision>
  <dcterms:created xsi:type="dcterms:W3CDTF">2023-11-08T08:41:00Z</dcterms:created>
  <dcterms:modified xsi:type="dcterms:W3CDTF">2025-09-29T02:52:00Z</dcterms:modified>
</cp:coreProperties>
</file>