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C56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防静电工作服</w:t>
      </w:r>
      <w:r>
        <w:rPr>
          <w:rFonts w:hint="eastAsia"/>
          <w:b/>
          <w:bCs/>
          <w:sz w:val="32"/>
          <w:szCs w:val="32"/>
          <w:lang w:val="en-US" w:eastAsia="zh-CN"/>
        </w:rPr>
        <w:t>静电性能检测</w:t>
      </w:r>
      <w:r>
        <w:rPr>
          <w:rFonts w:hint="eastAsia"/>
          <w:b/>
          <w:bCs/>
          <w:sz w:val="32"/>
          <w:szCs w:val="32"/>
        </w:rPr>
        <w:t>技术要求</w:t>
      </w:r>
    </w:p>
    <w:p w14:paraId="1F78C651"/>
    <w:p w14:paraId="08BE9BC5">
      <w:pPr>
        <w:spacing w:line="360" w:lineRule="auto"/>
        <w:rPr>
          <w:spacing w:val="4"/>
          <w:sz w:val="24"/>
          <w:szCs w:val="24"/>
        </w:rPr>
      </w:pPr>
    </w:p>
    <w:p w14:paraId="1DF29537">
      <w:pPr>
        <w:spacing w:line="360" w:lineRule="auto"/>
        <w:ind w:firstLine="496" w:firstLineChars="200"/>
        <w:rPr>
          <w:rFonts w:hint="eastAsia"/>
          <w:spacing w:val="4"/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>防静电保暖工作服</w:t>
      </w:r>
      <w:r>
        <w:rPr>
          <w:rFonts w:hint="eastAsia"/>
          <w:spacing w:val="4"/>
          <w:sz w:val="24"/>
          <w:szCs w:val="24"/>
          <w:lang w:val="en-US" w:eastAsia="zh-CN"/>
        </w:rPr>
        <w:t>静电性能检测由服务方通过检测后明确昆纤公司送检的服装是否</w:t>
      </w:r>
      <w:r>
        <w:rPr>
          <w:rFonts w:hint="eastAsia"/>
          <w:spacing w:val="4"/>
          <w:sz w:val="24"/>
          <w:szCs w:val="24"/>
        </w:rPr>
        <w:t>符合国家标准《防静电服》（GB12014-2009）和《国家纺织产品基本安全技术规范》（GB18401-2010）的相关要求。</w:t>
      </w:r>
    </w:p>
    <w:p w14:paraId="223FE2D6">
      <w:pPr>
        <w:spacing w:line="360" w:lineRule="auto"/>
        <w:ind w:firstLine="496" w:firstLineChars="200"/>
        <w:rPr>
          <w:rFonts w:hint="default" w:eastAsiaTheme="minorEastAsia"/>
          <w:spacing w:val="4"/>
          <w:sz w:val="24"/>
          <w:szCs w:val="24"/>
          <w:lang w:val="en-US" w:eastAsia="zh-CN"/>
        </w:rPr>
      </w:pPr>
      <w:r>
        <w:rPr>
          <w:rFonts w:hint="eastAsia"/>
          <w:spacing w:val="4"/>
          <w:sz w:val="24"/>
          <w:szCs w:val="24"/>
          <w:lang w:val="en-US" w:eastAsia="zh-CN"/>
        </w:rPr>
        <w:t>负责检测的服务方必须具备中国合格评定国家认可委员会（CNAS）和中国计量认证（CMA）资质。</w:t>
      </w:r>
      <w:bookmarkStart w:id="0" w:name="_GoBack"/>
      <w:bookmarkEnd w:id="0"/>
    </w:p>
    <w:p w14:paraId="66242235">
      <w:pPr>
        <w:spacing w:line="360" w:lineRule="auto"/>
        <w:ind w:firstLine="496" w:firstLineChars="200"/>
        <w:rPr>
          <w:rFonts w:hint="eastAsia"/>
          <w:spacing w:val="4"/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>昆纤公司</w:t>
      </w:r>
      <w:r>
        <w:rPr>
          <w:rFonts w:hint="eastAsia"/>
          <w:spacing w:val="4"/>
          <w:sz w:val="24"/>
          <w:szCs w:val="24"/>
          <w:lang w:val="en-US" w:eastAsia="zh-CN"/>
        </w:rPr>
        <w:t>提供</w:t>
      </w:r>
      <w:r>
        <w:rPr>
          <w:rFonts w:hint="eastAsia"/>
          <w:spacing w:val="4"/>
          <w:sz w:val="24"/>
          <w:szCs w:val="24"/>
        </w:rPr>
        <w:t>5件防静电防寒工作服提供给服务方，负责检测的服务方向昆纤公司提供检测报告。</w:t>
      </w:r>
    </w:p>
    <w:p w14:paraId="082209F9">
      <w:pPr>
        <w:spacing w:line="360" w:lineRule="auto"/>
        <w:ind w:firstLine="496" w:firstLineChars="200"/>
        <w:rPr>
          <w:spacing w:val="4"/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>防静电防寒工作服（冲锋衣）的主要技术要求见下表: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4FB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5D90A22C">
            <w:pPr>
              <w:spacing w:line="360" w:lineRule="auto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测试项目</w:t>
            </w:r>
          </w:p>
        </w:tc>
        <w:tc>
          <w:tcPr>
            <w:tcW w:w="4261" w:type="dxa"/>
          </w:tcPr>
          <w:p w14:paraId="74D90942">
            <w:pPr>
              <w:spacing w:line="360" w:lineRule="auto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技术要求</w:t>
            </w:r>
          </w:p>
        </w:tc>
      </w:tr>
      <w:tr w14:paraId="0C0B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09C9CC0">
            <w:pPr>
              <w:spacing w:line="360" w:lineRule="auto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点对点电阻/Ω</w:t>
            </w:r>
          </w:p>
        </w:tc>
        <w:tc>
          <w:tcPr>
            <w:tcW w:w="4261" w:type="dxa"/>
          </w:tcPr>
          <w:p w14:paraId="06B4AE0D">
            <w:pPr>
              <w:spacing w:line="360" w:lineRule="auto"/>
              <w:jc w:val="left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执行B级要求：1×107～1×1011</w:t>
            </w:r>
          </w:p>
        </w:tc>
      </w:tr>
      <w:tr w14:paraId="5855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25DF0F0">
            <w:pPr>
              <w:spacing w:line="360" w:lineRule="auto"/>
              <w:jc w:val="left"/>
              <w:rPr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带电电荷量/（μC/件）</w:t>
            </w:r>
          </w:p>
        </w:tc>
        <w:tc>
          <w:tcPr>
            <w:tcW w:w="4261" w:type="dxa"/>
          </w:tcPr>
          <w:p w14:paraId="7F7AE2F3">
            <w:pPr>
              <w:spacing w:line="360" w:lineRule="auto"/>
              <w:jc w:val="left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执行B级要求：0.20～0.60</w:t>
            </w:r>
          </w:p>
        </w:tc>
      </w:tr>
      <w:tr w14:paraId="076A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6B6D7F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甲醛含量/（mg/kg）</w:t>
            </w:r>
          </w:p>
        </w:tc>
        <w:tc>
          <w:tcPr>
            <w:tcW w:w="4261" w:type="dxa"/>
          </w:tcPr>
          <w:p w14:paraId="33B6CE5E">
            <w:pPr>
              <w:spacing w:line="360" w:lineRule="auto"/>
              <w:jc w:val="left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直接接触皮肤≤75</w:t>
            </w:r>
          </w:p>
        </w:tc>
      </w:tr>
      <w:tr w14:paraId="2E06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2E1CDB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pH值</w:t>
            </w:r>
          </w:p>
        </w:tc>
        <w:tc>
          <w:tcPr>
            <w:tcW w:w="4261" w:type="dxa"/>
          </w:tcPr>
          <w:p w14:paraId="3B24EC07">
            <w:pPr>
              <w:spacing w:line="360" w:lineRule="auto"/>
              <w:rPr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4.0～9.0</w:t>
            </w:r>
          </w:p>
        </w:tc>
      </w:tr>
      <w:tr w14:paraId="10AF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6E5F4D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尺寸变化率/%</w:t>
            </w:r>
          </w:p>
        </w:tc>
        <w:tc>
          <w:tcPr>
            <w:tcW w:w="4261" w:type="dxa"/>
          </w:tcPr>
          <w:p w14:paraId="6DC0BB69">
            <w:pPr>
              <w:spacing w:line="360" w:lineRule="auto"/>
              <w:rPr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+2.5～-2.5（经、纬向）</w:t>
            </w:r>
          </w:p>
        </w:tc>
      </w:tr>
      <w:tr w14:paraId="5C61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3370DB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透气率/（mm/s）</w:t>
            </w:r>
          </w:p>
        </w:tc>
        <w:tc>
          <w:tcPr>
            <w:tcW w:w="4261" w:type="dxa"/>
          </w:tcPr>
          <w:p w14:paraId="32F56122">
            <w:pPr>
              <w:spacing w:line="360" w:lineRule="auto"/>
              <w:rPr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10～30（涂层面料）</w:t>
            </w:r>
          </w:p>
        </w:tc>
      </w:tr>
      <w:tr w14:paraId="0421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98C33E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耐水色牢度/级（变色、沾色）</w:t>
            </w:r>
          </w:p>
        </w:tc>
        <w:tc>
          <w:tcPr>
            <w:tcW w:w="4261" w:type="dxa"/>
          </w:tcPr>
          <w:p w14:paraId="0E6D1925">
            <w:pPr>
              <w:spacing w:line="360" w:lineRule="auto"/>
              <w:rPr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≥3-4</w:t>
            </w:r>
          </w:p>
        </w:tc>
      </w:tr>
      <w:tr w14:paraId="37C0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B92797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耐干摩擦色牢度/级（变色、沾色）</w:t>
            </w:r>
          </w:p>
        </w:tc>
        <w:tc>
          <w:tcPr>
            <w:tcW w:w="4261" w:type="dxa"/>
          </w:tcPr>
          <w:p w14:paraId="519A01FB">
            <w:pPr>
              <w:spacing w:line="360" w:lineRule="auto"/>
              <w:rPr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≥3-4</w:t>
            </w:r>
          </w:p>
        </w:tc>
      </w:tr>
      <w:tr w14:paraId="68BA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9F7DA0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耐光色牢度/级（变色、沾色）</w:t>
            </w:r>
          </w:p>
        </w:tc>
        <w:tc>
          <w:tcPr>
            <w:tcW w:w="4261" w:type="dxa"/>
          </w:tcPr>
          <w:p w14:paraId="37166576">
            <w:pPr>
              <w:spacing w:line="360" w:lineRule="auto"/>
              <w:rPr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≥3-4</w:t>
            </w:r>
          </w:p>
        </w:tc>
      </w:tr>
      <w:tr w14:paraId="44C5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C1CC76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断裂强力/N</w:t>
            </w:r>
          </w:p>
        </w:tc>
        <w:tc>
          <w:tcPr>
            <w:tcW w:w="4261" w:type="dxa"/>
          </w:tcPr>
          <w:p w14:paraId="1DAD818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经向≥780（单位面积质量≥200g/m</w:t>
            </w: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）</w:t>
            </w:r>
          </w:p>
          <w:p w14:paraId="1652A337">
            <w:pPr>
              <w:spacing w:line="360" w:lineRule="auto"/>
              <w:rPr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经向≥490（单位面积质量＜200g/m</w:t>
            </w: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>）</w:t>
            </w:r>
          </w:p>
        </w:tc>
      </w:tr>
    </w:tbl>
    <w:p w14:paraId="02BD972E">
      <w:pPr>
        <w:spacing w:line="360" w:lineRule="auto"/>
        <w:rPr>
          <w:spacing w:val="4"/>
          <w:sz w:val="24"/>
          <w:szCs w:val="24"/>
        </w:rPr>
      </w:pPr>
    </w:p>
    <w:p w14:paraId="7D9AFDED">
      <w:pPr>
        <w:spacing w:line="360" w:lineRule="auto"/>
        <w:rPr>
          <w:spacing w:val="4"/>
        </w:rPr>
      </w:pPr>
    </w:p>
    <w:p w14:paraId="46679543">
      <w:pPr>
        <w:spacing w:line="360" w:lineRule="auto"/>
        <w:ind w:firstLine="5456" w:firstLineChars="2200"/>
        <w:rPr>
          <w:spacing w:val="4"/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>安全环保部</w:t>
      </w:r>
    </w:p>
    <w:p w14:paraId="267CEE45">
      <w:pPr>
        <w:spacing w:line="360" w:lineRule="auto"/>
        <w:ind w:firstLine="5208" w:firstLineChars="2100"/>
        <w:rPr>
          <w:spacing w:val="4"/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>202</w:t>
      </w:r>
      <w:r>
        <w:rPr>
          <w:rFonts w:hint="eastAsia"/>
          <w:spacing w:val="4"/>
          <w:sz w:val="24"/>
          <w:szCs w:val="24"/>
          <w:lang w:val="en-US" w:eastAsia="zh-CN"/>
        </w:rPr>
        <w:t>5</w:t>
      </w:r>
      <w:r>
        <w:rPr>
          <w:rFonts w:hint="eastAsia"/>
          <w:spacing w:val="4"/>
          <w:sz w:val="24"/>
          <w:szCs w:val="24"/>
        </w:rPr>
        <w:t>年</w:t>
      </w:r>
      <w:r>
        <w:rPr>
          <w:rFonts w:hint="eastAsia"/>
          <w:spacing w:val="4"/>
          <w:sz w:val="24"/>
          <w:szCs w:val="24"/>
          <w:lang w:val="en-US" w:eastAsia="zh-CN"/>
        </w:rPr>
        <w:t>4</w:t>
      </w:r>
      <w:r>
        <w:rPr>
          <w:rFonts w:hint="eastAsia"/>
          <w:spacing w:val="4"/>
          <w:sz w:val="24"/>
          <w:szCs w:val="24"/>
        </w:rPr>
        <w:t>月</w:t>
      </w:r>
      <w:r>
        <w:rPr>
          <w:rFonts w:hint="eastAsia"/>
          <w:spacing w:val="4"/>
          <w:sz w:val="24"/>
          <w:szCs w:val="24"/>
          <w:lang w:val="en-US" w:eastAsia="zh-CN"/>
        </w:rPr>
        <w:t>9</w:t>
      </w:r>
      <w:r>
        <w:rPr>
          <w:rFonts w:hint="eastAsia"/>
          <w:spacing w:val="4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B1"/>
    <w:rsid w:val="00077BFB"/>
    <w:rsid w:val="0009478C"/>
    <w:rsid w:val="00107B87"/>
    <w:rsid w:val="00132C58"/>
    <w:rsid w:val="001660A3"/>
    <w:rsid w:val="001A3DBF"/>
    <w:rsid w:val="001D17AD"/>
    <w:rsid w:val="00210EA2"/>
    <w:rsid w:val="00271B37"/>
    <w:rsid w:val="002B202C"/>
    <w:rsid w:val="002F6B0A"/>
    <w:rsid w:val="003574A0"/>
    <w:rsid w:val="00365AED"/>
    <w:rsid w:val="004025B3"/>
    <w:rsid w:val="0041666E"/>
    <w:rsid w:val="004500FC"/>
    <w:rsid w:val="004622B5"/>
    <w:rsid w:val="00560311"/>
    <w:rsid w:val="005B62CF"/>
    <w:rsid w:val="00622706"/>
    <w:rsid w:val="0074003F"/>
    <w:rsid w:val="007C0450"/>
    <w:rsid w:val="009D399B"/>
    <w:rsid w:val="00AB6CBA"/>
    <w:rsid w:val="00B708F7"/>
    <w:rsid w:val="00C9023C"/>
    <w:rsid w:val="00CE2B05"/>
    <w:rsid w:val="00D54B54"/>
    <w:rsid w:val="00E51366"/>
    <w:rsid w:val="00E92A54"/>
    <w:rsid w:val="00EC70E9"/>
    <w:rsid w:val="00EE6FB1"/>
    <w:rsid w:val="00F37E11"/>
    <w:rsid w:val="00FA27E5"/>
    <w:rsid w:val="25B373D6"/>
    <w:rsid w:val="42920EEB"/>
    <w:rsid w:val="712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98AA-13CF-4675-A0B2-ABA24530F1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438</Characters>
  <Lines>15</Lines>
  <Paragraphs>4</Paragraphs>
  <TotalTime>306</TotalTime>
  <ScaleCrop>false</ScaleCrop>
  <LinksUpToDate>false</LinksUpToDate>
  <CharactersWithSpaces>438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2022-06-29T07:51:00Z</dcterms:created>
  <dc:creator>孙玲</dc:creator>
  <cp:lastModifiedBy>飞</cp:lastModifiedBy>
  <cp:lastPrinted>2022-06-29T08:18:00Z</cp:lastPrinted>
  <dcterms:modified xsi:type="dcterms:W3CDTF">2025-04-09T07:59:28Z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eyJoZGlkIjoiMDc5YTYxNTYzNTE1MzFkYTU3OTBkNzY0ZmNmMDQzZGYiLCJ1c2VySWQiOiI0NjcxODUwNTcifQ==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4E51DB0781D149B1A043013B5CB437ED_13</vt:lpwstr>
  </property>
</Properties>
</file>